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1C09B" w14:textId="7035075E" w:rsidR="00261A86" w:rsidRPr="005437F4" w:rsidRDefault="00261A86" w:rsidP="00261A8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32"/>
          <w:lang w:val="en-US" w:eastAsia="zh-CN"/>
        </w:rPr>
      </w:pPr>
      <w:bookmarkStart w:id="0" w:name="OLE_LINK5"/>
      <w:bookmarkStart w:id="1" w:name="OLE_LINK6"/>
      <w:r w:rsidRPr="005437F4">
        <w:rPr>
          <w:rFonts w:ascii="Arial" w:eastAsia="SimSun" w:hAnsi="Arial" w:cs="Times New Roman"/>
          <w:b/>
          <w:sz w:val="24"/>
          <w:szCs w:val="24"/>
          <w:lang w:val="en-US"/>
        </w:rPr>
        <w:t>3GPP T</w:t>
      </w:r>
      <w:bookmarkStart w:id="2" w:name="_Ref452454252"/>
      <w:bookmarkEnd w:id="2"/>
      <w:r w:rsidRPr="005437F4">
        <w:rPr>
          <w:rFonts w:ascii="Arial" w:eastAsia="SimSun" w:hAnsi="Arial" w:cs="Times New Roman"/>
          <w:b/>
          <w:sz w:val="24"/>
          <w:szCs w:val="24"/>
          <w:lang w:val="en-US"/>
        </w:rPr>
        <w:t>SG-RAN WG4 Meeting #</w:t>
      </w:r>
      <w:r w:rsidR="009133AE" w:rsidRPr="005437F4">
        <w:rPr>
          <w:rFonts w:ascii="Arial" w:eastAsia="SimSun" w:hAnsi="Arial" w:cs="Times New Roman"/>
          <w:b/>
          <w:sz w:val="24"/>
          <w:szCs w:val="24"/>
          <w:lang w:val="en-US"/>
        </w:rPr>
        <w:t>11</w:t>
      </w:r>
      <w:r w:rsidR="009133AE">
        <w:rPr>
          <w:rFonts w:ascii="Arial" w:eastAsia="SimSun" w:hAnsi="Arial" w:cs="Times New Roman"/>
          <w:b/>
          <w:sz w:val="24"/>
          <w:szCs w:val="24"/>
          <w:lang w:val="en-US" w:eastAsia="zh-CN"/>
        </w:rPr>
        <w:t>6</w:t>
      </w:r>
      <w:r w:rsidRPr="005437F4">
        <w:rPr>
          <w:lang w:val="en-US"/>
        </w:rPr>
        <w:tab/>
      </w:r>
      <w:r w:rsidRPr="005437F4">
        <w:rPr>
          <w:rFonts w:ascii="Arial" w:eastAsia="SimSun" w:hAnsi="Arial" w:cs="Times New Roman"/>
          <w:b/>
          <w:sz w:val="24"/>
          <w:szCs w:val="24"/>
          <w:lang w:eastAsia="ja-JP"/>
        </w:rPr>
        <w:t>R4-</w:t>
      </w:r>
      <w:r w:rsidR="0076624B" w:rsidRPr="005437F4">
        <w:rPr>
          <w:rFonts w:ascii="Arial" w:eastAsia="SimSun" w:hAnsi="Arial" w:cs="Times New Roman"/>
          <w:b/>
          <w:sz w:val="24"/>
          <w:szCs w:val="24"/>
          <w:lang w:eastAsia="ja-JP"/>
        </w:rPr>
        <w:t>25</w:t>
      </w:r>
      <w:r w:rsidR="0076624B">
        <w:rPr>
          <w:rFonts w:ascii="Arial" w:eastAsia="SimSun" w:hAnsi="Arial" w:cs="Times New Roman" w:hint="eastAsia"/>
          <w:b/>
          <w:sz w:val="24"/>
          <w:szCs w:val="24"/>
          <w:lang w:eastAsia="zh-CN"/>
        </w:rPr>
        <w:t>0</w:t>
      </w:r>
      <w:r w:rsidR="00DA08C3">
        <w:rPr>
          <w:rFonts w:ascii="Arial" w:eastAsia="SimSun" w:hAnsi="Arial" w:cs="Times New Roman"/>
          <w:b/>
          <w:sz w:val="24"/>
          <w:szCs w:val="24"/>
          <w:lang w:eastAsia="zh-CN"/>
        </w:rPr>
        <w:t>9618</w:t>
      </w:r>
    </w:p>
    <w:bookmarkEnd w:id="0"/>
    <w:bookmarkEnd w:id="1"/>
    <w:p w14:paraId="33FEA969" w14:textId="4792346D" w:rsidR="00841BCD" w:rsidRDefault="09B8590B" w:rsidP="0040005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4"/>
          <w:lang w:val="en-US"/>
        </w:rPr>
      </w:pPr>
      <w:r w:rsidRPr="0040005B">
        <w:rPr>
          <w:rFonts w:ascii="Arial" w:eastAsia="SimSun" w:hAnsi="Arial" w:cs="Times New Roman"/>
          <w:b/>
          <w:sz w:val="24"/>
          <w:szCs w:val="24"/>
          <w:lang w:val="en-US"/>
        </w:rPr>
        <w:t>Bengaluru, India, 25 August 2025 – 29 August 2025</w:t>
      </w:r>
    </w:p>
    <w:p w14:paraId="6175AD4E" w14:textId="77777777" w:rsidR="0040005B" w:rsidRPr="0040005B" w:rsidRDefault="0040005B" w:rsidP="0040005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4"/>
          <w:lang w:val="en-US"/>
        </w:rPr>
      </w:pPr>
    </w:p>
    <w:p w14:paraId="4BB5DDC3" w14:textId="74D24C65" w:rsidR="00841BCD" w:rsidRPr="00585E5D" w:rsidRDefault="00841BCD" w:rsidP="00841BCD">
      <w:pPr>
        <w:tabs>
          <w:tab w:val="left" w:pos="1985"/>
        </w:tabs>
        <w:ind w:left="1985" w:hanging="1985"/>
        <w:rPr>
          <w:rFonts w:ascii="Arial" w:eastAsia="Calibri" w:hAnsi="Arial" w:cs="Arial"/>
          <w:b/>
          <w:bCs/>
          <w:sz w:val="24"/>
          <w:lang w:val="en-US"/>
        </w:rPr>
      </w:pPr>
      <w:r w:rsidRPr="00585E5D">
        <w:rPr>
          <w:rFonts w:ascii="Arial" w:eastAsia="Calibri" w:hAnsi="Arial" w:cs="Arial"/>
          <w:b/>
          <w:bCs/>
          <w:sz w:val="24"/>
          <w:lang w:val="en-US"/>
        </w:rPr>
        <w:t>Source:</w:t>
      </w:r>
      <w:r w:rsidRPr="00585E5D">
        <w:rPr>
          <w:rFonts w:ascii="Arial" w:eastAsia="Calibri" w:hAnsi="Arial" w:cs="Arial"/>
          <w:b/>
          <w:bCs/>
          <w:sz w:val="24"/>
          <w:lang w:val="en-US"/>
        </w:rPr>
        <w:tab/>
        <w:t>Nokia</w:t>
      </w:r>
      <w:r w:rsidR="00765F75" w:rsidRPr="00585E5D">
        <w:rPr>
          <w:rFonts w:ascii="Arial" w:eastAsia="Calibri" w:hAnsi="Arial" w:cs="Arial"/>
          <w:b/>
          <w:bCs/>
          <w:sz w:val="24"/>
          <w:lang w:val="en-US"/>
        </w:rPr>
        <w:t>, Nokia Shanghai Bell</w:t>
      </w:r>
    </w:p>
    <w:p w14:paraId="1B0959A9" w14:textId="45169341" w:rsidR="00841BCD" w:rsidRPr="00585E5D" w:rsidRDefault="00841BCD" w:rsidP="00841BCD">
      <w:pPr>
        <w:ind w:left="1985" w:hanging="1985"/>
        <w:rPr>
          <w:rFonts w:ascii="Arial" w:eastAsia="Calibri" w:hAnsi="Arial" w:cs="Arial"/>
          <w:b/>
          <w:bCs/>
          <w:sz w:val="24"/>
          <w:lang w:val="en-US"/>
        </w:rPr>
      </w:pPr>
      <w:r w:rsidRPr="00585E5D">
        <w:rPr>
          <w:rFonts w:ascii="Arial" w:eastAsia="Calibri" w:hAnsi="Arial" w:cs="Arial"/>
          <w:b/>
          <w:bCs/>
          <w:sz w:val="24"/>
          <w:lang w:val="en-US"/>
        </w:rPr>
        <w:t>Title:</w:t>
      </w:r>
      <w:r w:rsidRPr="00585E5D">
        <w:rPr>
          <w:rFonts w:ascii="Arial" w:eastAsia="Calibri" w:hAnsi="Arial" w:cs="Arial"/>
          <w:b/>
          <w:bCs/>
          <w:sz w:val="24"/>
          <w:lang w:val="en-US"/>
        </w:rPr>
        <w:tab/>
      </w:r>
      <w:r w:rsidR="00290A76" w:rsidRPr="00585E5D">
        <w:rPr>
          <w:rFonts w:ascii="Arial" w:eastAsia="Calibri" w:hAnsi="Arial" w:cs="Arial"/>
          <w:b/>
          <w:bCs/>
          <w:sz w:val="24"/>
          <w:lang w:val="en-US"/>
        </w:rPr>
        <w:t>RRM requirements for SBFD operation</w:t>
      </w:r>
    </w:p>
    <w:p w14:paraId="50C15760" w14:textId="63A385B7" w:rsidR="00841BCD" w:rsidRPr="00585E5D" w:rsidRDefault="00841BCD" w:rsidP="00841BCD">
      <w:pPr>
        <w:tabs>
          <w:tab w:val="left" w:pos="1985"/>
        </w:tabs>
        <w:spacing w:after="120" w:line="240" w:lineRule="auto"/>
        <w:rPr>
          <w:rFonts w:ascii="Arial" w:hAnsi="Arial" w:cs="Arial"/>
          <w:b/>
          <w:bCs/>
          <w:sz w:val="24"/>
          <w:szCs w:val="20"/>
          <w:lang w:val="en-US" w:eastAsia="zh-CN"/>
        </w:rPr>
      </w:pPr>
      <w:r w:rsidRPr="00585E5D">
        <w:rPr>
          <w:rFonts w:ascii="Arial" w:eastAsia="MS Mincho" w:hAnsi="Arial" w:cs="Arial"/>
          <w:b/>
          <w:bCs/>
          <w:sz w:val="24"/>
          <w:szCs w:val="20"/>
          <w:lang w:val="en-US"/>
        </w:rPr>
        <w:t>Agenda item:</w:t>
      </w:r>
      <w:r w:rsidRPr="00585E5D">
        <w:rPr>
          <w:rFonts w:ascii="Arial" w:eastAsia="MS Mincho" w:hAnsi="Arial" w:cs="Arial"/>
          <w:b/>
          <w:bCs/>
          <w:sz w:val="24"/>
          <w:szCs w:val="20"/>
          <w:lang w:val="en-US"/>
        </w:rPr>
        <w:tab/>
      </w:r>
      <w:r w:rsidR="00C1293E" w:rsidRPr="00585E5D">
        <w:rPr>
          <w:rFonts w:ascii="Arial" w:hAnsi="Arial" w:cs="Arial"/>
          <w:b/>
          <w:bCs/>
          <w:sz w:val="24"/>
          <w:szCs w:val="20"/>
          <w:lang w:val="en-US" w:eastAsia="zh-CN"/>
        </w:rPr>
        <w:t>7.</w:t>
      </w:r>
      <w:r w:rsidR="009419A4" w:rsidRPr="00585E5D">
        <w:rPr>
          <w:rFonts w:ascii="Arial" w:hAnsi="Arial" w:cs="Arial"/>
          <w:b/>
          <w:bCs/>
          <w:sz w:val="24"/>
          <w:szCs w:val="20"/>
          <w:lang w:val="en-US" w:eastAsia="zh-CN"/>
        </w:rPr>
        <w:t>2</w:t>
      </w:r>
      <w:r w:rsidR="009419A4">
        <w:rPr>
          <w:rFonts w:ascii="Arial" w:hAnsi="Arial" w:cs="Arial"/>
          <w:b/>
          <w:bCs/>
          <w:sz w:val="24"/>
          <w:szCs w:val="20"/>
          <w:lang w:val="en-US" w:eastAsia="zh-CN"/>
        </w:rPr>
        <w:t>1</w:t>
      </w:r>
      <w:r w:rsidR="00C1293E" w:rsidRPr="00585E5D">
        <w:rPr>
          <w:rFonts w:ascii="Arial" w:hAnsi="Arial" w:cs="Arial"/>
          <w:b/>
          <w:bCs/>
          <w:sz w:val="24"/>
          <w:szCs w:val="20"/>
          <w:lang w:val="en-US" w:eastAsia="zh-CN"/>
        </w:rPr>
        <w:t>.</w:t>
      </w:r>
      <w:r w:rsidR="00AD7633">
        <w:rPr>
          <w:rFonts w:ascii="Arial" w:hAnsi="Arial" w:cs="Arial" w:hint="eastAsia"/>
          <w:b/>
          <w:bCs/>
          <w:sz w:val="24"/>
          <w:szCs w:val="20"/>
          <w:lang w:val="en-US" w:eastAsia="zh-CN"/>
        </w:rPr>
        <w:t>4</w:t>
      </w:r>
      <w:r w:rsidR="00C1293E" w:rsidRPr="00585E5D">
        <w:rPr>
          <w:rFonts w:ascii="Arial" w:hAnsi="Arial" w:cs="Arial"/>
          <w:b/>
          <w:bCs/>
          <w:sz w:val="24"/>
          <w:szCs w:val="20"/>
          <w:lang w:val="en-US" w:eastAsia="zh-CN"/>
        </w:rPr>
        <w:t>.2</w:t>
      </w:r>
    </w:p>
    <w:p w14:paraId="2441D372" w14:textId="77777777" w:rsidR="00D66188" w:rsidRPr="00585E5D" w:rsidRDefault="00841BCD" w:rsidP="00841BCD">
      <w:pPr>
        <w:tabs>
          <w:tab w:val="left" w:pos="1985"/>
        </w:tabs>
        <w:rPr>
          <w:rFonts w:ascii="Arial" w:eastAsia="Calibri" w:hAnsi="Arial" w:cs="Arial"/>
          <w:b/>
          <w:bCs/>
          <w:sz w:val="24"/>
          <w:lang w:val="en-US"/>
        </w:rPr>
      </w:pPr>
      <w:r w:rsidRPr="00585E5D">
        <w:rPr>
          <w:rFonts w:ascii="Arial" w:eastAsia="Calibri" w:hAnsi="Arial" w:cs="Arial"/>
          <w:b/>
          <w:bCs/>
          <w:sz w:val="24"/>
          <w:lang w:val="en-US"/>
        </w:rPr>
        <w:t>Document for:</w:t>
      </w:r>
      <w:r w:rsidRPr="00585E5D">
        <w:rPr>
          <w:rFonts w:ascii="Arial" w:eastAsia="Calibri" w:hAnsi="Arial" w:cs="Arial"/>
          <w:b/>
          <w:bCs/>
          <w:sz w:val="24"/>
          <w:lang w:val="en-US"/>
        </w:rPr>
        <w:tab/>
      </w:r>
      <w:r w:rsidR="00AE6D09" w:rsidRPr="00585E5D">
        <w:rPr>
          <w:rFonts w:ascii="Arial" w:eastAsia="Calibri" w:hAnsi="Arial" w:cs="Arial"/>
          <w:b/>
          <w:bCs/>
          <w:sz w:val="24"/>
          <w:lang w:val="en-US"/>
        </w:rPr>
        <w:t>Discussion</w:t>
      </w:r>
    </w:p>
    <w:p w14:paraId="60A472CA" w14:textId="77777777" w:rsidR="00841BCD" w:rsidRPr="00585E5D" w:rsidRDefault="00841BCD" w:rsidP="00A37002">
      <w:pPr>
        <w:pStyle w:val="RAN4H1"/>
        <w:rPr>
          <w:lang w:val="en-US"/>
        </w:rPr>
      </w:pPr>
      <w:bookmarkStart w:id="3" w:name="_Toc116995841"/>
      <w:r w:rsidRPr="00585E5D">
        <w:rPr>
          <w:lang w:val="en-US"/>
        </w:rPr>
        <w:t>Intro</w:t>
      </w:r>
      <w:r w:rsidRPr="00585E5D">
        <w:rPr>
          <w:rStyle w:val="RAN4H1Char"/>
          <w:lang w:val="en-US"/>
        </w:rPr>
        <w:t>ductio</w:t>
      </w:r>
      <w:r w:rsidRPr="00585E5D">
        <w:rPr>
          <w:lang w:val="en-US"/>
        </w:rPr>
        <w:t>n</w:t>
      </w:r>
      <w:bookmarkEnd w:id="3"/>
    </w:p>
    <w:p w14:paraId="1FD48E9E" w14:textId="78635D72" w:rsidR="007E4668" w:rsidRPr="00585E5D" w:rsidRDefault="007E4668" w:rsidP="007E4668">
      <w:pPr>
        <w:rPr>
          <w:lang w:val="en-US"/>
        </w:rPr>
      </w:pPr>
      <w:r w:rsidRPr="00585E5D">
        <w:rPr>
          <w:lang w:val="en-US"/>
        </w:rPr>
        <w:t>In the last RAN4 meeting, the following agreements were made</w:t>
      </w:r>
      <w:r w:rsidR="00C16A17" w:rsidRPr="00585E5D">
        <w:rPr>
          <w:lang w:val="en-US"/>
        </w:rPr>
        <w:t xml:space="preserve"> </w:t>
      </w:r>
      <w:r w:rsidR="00C16A17" w:rsidRPr="00585E5D">
        <w:rPr>
          <w:lang w:val="en-US"/>
        </w:rPr>
        <w:fldChar w:fldCharType="begin"/>
      </w:r>
      <w:r w:rsidR="00C16A17" w:rsidRPr="00585E5D">
        <w:rPr>
          <w:lang w:val="en-US"/>
        </w:rPr>
        <w:instrText xml:space="preserve"> REF _Ref189639456 \r \h </w:instrText>
      </w:r>
      <w:r w:rsidR="00C16A17" w:rsidRPr="00585E5D">
        <w:rPr>
          <w:lang w:val="en-US"/>
        </w:rPr>
      </w:r>
      <w:r w:rsidR="00C16A17" w:rsidRPr="00585E5D">
        <w:rPr>
          <w:lang w:val="en-US"/>
        </w:rPr>
        <w:fldChar w:fldCharType="separate"/>
      </w:r>
      <w:r w:rsidR="00C16A17" w:rsidRPr="00585E5D">
        <w:rPr>
          <w:lang w:val="en-US"/>
        </w:rPr>
        <w:t>[1]</w:t>
      </w:r>
      <w:r w:rsidR="00C16A17" w:rsidRPr="00585E5D">
        <w:rPr>
          <w:lang w:val="en-US"/>
        </w:rPr>
        <w:fldChar w:fldCharType="end"/>
      </w:r>
      <w:r w:rsidR="002846A0" w:rsidRPr="00585E5D">
        <w:rPr>
          <w:lang w:val="en-US"/>
        </w:rPr>
        <w:t>:</w:t>
      </w:r>
      <w:r w:rsidR="00830C52" w:rsidRPr="00585E5D">
        <w:rPr>
          <w:lang w:val="en-US"/>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17"/>
      </w:tblGrid>
      <w:tr w:rsidR="007E4668" w:rsidRPr="00FF4CC1" w14:paraId="18EAD7CE" w14:textId="77777777" w:rsidTr="606B9295">
        <w:tc>
          <w:tcPr>
            <w:tcW w:w="9617" w:type="dxa"/>
          </w:tcPr>
          <w:p w14:paraId="3797A868" w14:textId="77777777" w:rsidR="009133AE" w:rsidRDefault="009133AE" w:rsidP="606B9295">
            <w:pPr>
              <w:pStyle w:val="paragraph"/>
              <w:spacing w:before="0" w:beforeAutospacing="0" w:after="0" w:afterAutospacing="0"/>
              <w:textAlignment w:val="baseline"/>
              <w:rPr>
                <w:sz w:val="22"/>
                <w:szCs w:val="22"/>
              </w:rPr>
            </w:pPr>
            <w:r w:rsidRPr="606B9295">
              <w:rPr>
                <w:rStyle w:val="normaltextrun"/>
                <w:rFonts w:ascii="Arial" w:hAnsi="Arial" w:cs="Arial"/>
              </w:rPr>
              <w:t>Sub-topic 2-1: RRM impacts of SBFD operation</w:t>
            </w:r>
            <w:r w:rsidRPr="606B9295">
              <w:rPr>
                <w:rStyle w:val="eop"/>
                <w:rFonts w:ascii="Arial" w:hAnsi="Arial" w:cs="Arial"/>
              </w:rPr>
              <w:t> </w:t>
            </w:r>
          </w:p>
          <w:p w14:paraId="50247260" w14:textId="77777777" w:rsidR="009133AE" w:rsidRDefault="009133AE" w:rsidP="009133AE">
            <w:pPr>
              <w:pStyle w:val="paragraph"/>
              <w:spacing w:before="0" w:beforeAutospacing="0" w:after="0" w:afterAutospacing="0"/>
              <w:textAlignment w:val="baseline"/>
              <w:rPr>
                <w:sz w:val="22"/>
                <w:szCs w:val="22"/>
              </w:rPr>
            </w:pPr>
            <w:r>
              <w:rPr>
                <w:rStyle w:val="normaltextrun"/>
                <w:rFonts w:ascii="Arial" w:hAnsi="Arial" w:cs="Arial"/>
                <w:lang w:val="sv-SE"/>
              </w:rPr>
              <w:t>Issue 2-1-1b: CSI-RS L1 measurement – puncturing in frequency domain </w:t>
            </w:r>
            <w:r>
              <w:rPr>
                <w:rStyle w:val="eop"/>
                <w:rFonts w:ascii="Arial" w:hAnsi="Arial" w:cs="Arial"/>
              </w:rPr>
              <w:t> </w:t>
            </w:r>
          </w:p>
          <w:p w14:paraId="2144A97D" w14:textId="77777777" w:rsidR="009133AE" w:rsidRDefault="009133AE" w:rsidP="009133AE">
            <w:pPr>
              <w:pStyle w:val="paragraph"/>
              <w:numPr>
                <w:ilvl w:val="0"/>
                <w:numId w:val="76"/>
              </w:numPr>
              <w:spacing w:before="0" w:beforeAutospacing="0" w:after="0" w:afterAutospacing="0"/>
              <w:ind w:left="1080" w:firstLine="0"/>
              <w:textAlignment w:val="baseline"/>
              <w:rPr>
                <w:sz w:val="22"/>
                <w:szCs w:val="22"/>
              </w:rPr>
            </w:pPr>
            <w:r>
              <w:rPr>
                <w:rStyle w:val="normaltextrun"/>
                <w:color w:val="0070C0"/>
                <w:sz w:val="20"/>
                <w:szCs w:val="20"/>
              </w:rPr>
              <w:t>Agreement </w:t>
            </w:r>
            <w:r>
              <w:rPr>
                <w:rStyle w:val="eop"/>
                <w:color w:val="0070C0"/>
                <w:sz w:val="20"/>
                <w:szCs w:val="20"/>
              </w:rPr>
              <w:t> </w:t>
            </w:r>
          </w:p>
          <w:p w14:paraId="6226E75E" w14:textId="77777777" w:rsidR="009133AE" w:rsidRDefault="009133AE" w:rsidP="009133AE">
            <w:pPr>
              <w:pStyle w:val="paragraph"/>
              <w:numPr>
                <w:ilvl w:val="0"/>
                <w:numId w:val="77"/>
              </w:numPr>
              <w:spacing w:before="0" w:beforeAutospacing="0" w:after="0" w:afterAutospacing="0"/>
              <w:ind w:left="1440" w:firstLine="0"/>
              <w:textAlignment w:val="baseline"/>
              <w:rPr>
                <w:sz w:val="22"/>
                <w:szCs w:val="22"/>
              </w:rPr>
            </w:pPr>
            <w:r>
              <w:rPr>
                <w:rStyle w:val="normaltextrun"/>
                <w:sz w:val="20"/>
                <w:szCs w:val="20"/>
              </w:rPr>
              <w:t>Define relaxed accuracy requirements based on 24 RB for Case 3 following RAN4#114-bis agreement, based on the simulation assumption in Annex.</w:t>
            </w:r>
            <w:r>
              <w:rPr>
                <w:rStyle w:val="eop"/>
                <w:sz w:val="20"/>
                <w:szCs w:val="20"/>
              </w:rPr>
              <w:t> </w:t>
            </w:r>
          </w:p>
          <w:p w14:paraId="15A00CAE" w14:textId="77777777" w:rsidR="009133AE" w:rsidRDefault="009133AE" w:rsidP="009133AE">
            <w:pPr>
              <w:pStyle w:val="paragraph"/>
              <w:numPr>
                <w:ilvl w:val="0"/>
                <w:numId w:val="79"/>
              </w:numPr>
              <w:spacing w:before="0" w:beforeAutospacing="0" w:after="0" w:afterAutospacing="0"/>
              <w:ind w:left="1440" w:firstLine="0"/>
              <w:textAlignment w:val="baseline"/>
              <w:rPr>
                <w:sz w:val="22"/>
                <w:szCs w:val="22"/>
              </w:rPr>
            </w:pPr>
            <w:r>
              <w:rPr>
                <w:rStyle w:val="normaltextrun"/>
                <w:sz w:val="20"/>
                <w:szCs w:val="20"/>
              </w:rPr>
              <w:t>Further discuss the upper bound of the measurement period due to processing time and its applicability.</w:t>
            </w:r>
            <w:r>
              <w:rPr>
                <w:rStyle w:val="eop"/>
                <w:sz w:val="20"/>
                <w:szCs w:val="20"/>
              </w:rPr>
              <w:t> </w:t>
            </w:r>
          </w:p>
          <w:p w14:paraId="38132BC1" w14:textId="77777777" w:rsidR="009133AE" w:rsidRDefault="009133AE" w:rsidP="009133AE">
            <w:pPr>
              <w:pStyle w:val="paragraph"/>
              <w:spacing w:before="0" w:beforeAutospacing="0" w:after="0" w:afterAutospacing="0"/>
              <w:textAlignment w:val="baseline"/>
              <w:rPr>
                <w:sz w:val="22"/>
                <w:szCs w:val="22"/>
              </w:rPr>
            </w:pPr>
            <w:r>
              <w:rPr>
                <w:rStyle w:val="normaltextrun"/>
                <w:rFonts w:ascii="Arial" w:hAnsi="Arial" w:cs="Arial"/>
                <w:lang w:val="sv-SE"/>
              </w:rPr>
              <w:t>Issue 2-1-1c: CSI-RS L1 measurement – different symbol types  </w:t>
            </w:r>
            <w:r>
              <w:rPr>
                <w:rStyle w:val="eop"/>
                <w:rFonts w:ascii="Arial" w:hAnsi="Arial" w:cs="Arial"/>
              </w:rPr>
              <w:t> </w:t>
            </w:r>
          </w:p>
          <w:p w14:paraId="52825BF6" w14:textId="77777777" w:rsidR="009133AE" w:rsidRDefault="009133AE" w:rsidP="009133AE">
            <w:pPr>
              <w:pStyle w:val="paragraph"/>
              <w:numPr>
                <w:ilvl w:val="0"/>
                <w:numId w:val="80"/>
              </w:numPr>
              <w:spacing w:before="0" w:beforeAutospacing="0" w:after="0" w:afterAutospacing="0"/>
              <w:ind w:left="1080" w:firstLine="0"/>
              <w:textAlignment w:val="baseline"/>
              <w:rPr>
                <w:sz w:val="22"/>
                <w:szCs w:val="22"/>
              </w:rPr>
            </w:pPr>
            <w:r>
              <w:rPr>
                <w:rStyle w:val="normaltextrun"/>
                <w:color w:val="0070C0"/>
                <w:sz w:val="20"/>
                <w:szCs w:val="20"/>
              </w:rPr>
              <w:t>Agreements </w:t>
            </w:r>
            <w:r>
              <w:rPr>
                <w:rStyle w:val="eop"/>
                <w:color w:val="0070C0"/>
                <w:sz w:val="20"/>
                <w:szCs w:val="20"/>
              </w:rPr>
              <w:t> </w:t>
            </w:r>
          </w:p>
          <w:p w14:paraId="6E0EC5D4" w14:textId="77777777" w:rsidR="009133AE" w:rsidRDefault="009133AE" w:rsidP="009133AE">
            <w:pPr>
              <w:pStyle w:val="paragraph"/>
              <w:numPr>
                <w:ilvl w:val="0"/>
                <w:numId w:val="81"/>
              </w:numPr>
              <w:spacing w:before="0" w:beforeAutospacing="0" w:after="0" w:afterAutospacing="0"/>
              <w:ind w:left="1440" w:firstLine="0"/>
              <w:textAlignment w:val="baseline"/>
              <w:rPr>
                <w:sz w:val="22"/>
                <w:szCs w:val="22"/>
              </w:rPr>
            </w:pPr>
            <w:r>
              <w:rPr>
                <w:rStyle w:val="normaltextrun"/>
                <w:sz w:val="20"/>
                <w:szCs w:val="20"/>
              </w:rPr>
              <w:t>For L1-RSRP and L1-SINR</w:t>
            </w:r>
            <w:r>
              <w:rPr>
                <w:rStyle w:val="eop"/>
                <w:sz w:val="20"/>
                <w:szCs w:val="20"/>
              </w:rPr>
              <w:t> </w:t>
            </w:r>
          </w:p>
          <w:p w14:paraId="47C85192" w14:textId="77777777" w:rsidR="009133AE" w:rsidRDefault="009133AE" w:rsidP="009133AE">
            <w:pPr>
              <w:pStyle w:val="paragraph"/>
              <w:numPr>
                <w:ilvl w:val="0"/>
                <w:numId w:val="82"/>
              </w:numPr>
              <w:spacing w:before="0" w:beforeAutospacing="0" w:after="0" w:afterAutospacing="0"/>
              <w:ind w:left="2160" w:firstLine="0"/>
              <w:textAlignment w:val="baseline"/>
              <w:rPr>
                <w:sz w:val="22"/>
                <w:szCs w:val="22"/>
              </w:rPr>
            </w:pPr>
            <w:r>
              <w:rPr>
                <w:rStyle w:val="normaltextrun"/>
                <w:sz w:val="20"/>
                <w:szCs w:val="20"/>
              </w:rPr>
              <w:t>Measurement period is extended by using R16 NR-U approach.</w:t>
            </w:r>
            <w:r>
              <w:rPr>
                <w:rStyle w:val="eop"/>
                <w:sz w:val="20"/>
                <w:szCs w:val="20"/>
              </w:rPr>
              <w:t> </w:t>
            </w:r>
          </w:p>
          <w:p w14:paraId="6AEE3C1B" w14:textId="77777777" w:rsidR="009133AE" w:rsidRDefault="009133AE" w:rsidP="009133AE">
            <w:pPr>
              <w:pStyle w:val="paragraph"/>
              <w:numPr>
                <w:ilvl w:val="0"/>
                <w:numId w:val="83"/>
              </w:numPr>
              <w:spacing w:before="0" w:beforeAutospacing="0" w:after="0" w:afterAutospacing="0"/>
              <w:ind w:left="1440" w:firstLine="0"/>
              <w:textAlignment w:val="baseline"/>
              <w:rPr>
                <w:sz w:val="22"/>
                <w:szCs w:val="22"/>
              </w:rPr>
            </w:pPr>
            <w:r>
              <w:rPr>
                <w:rStyle w:val="normaltextrun"/>
                <w:sz w:val="20"/>
                <w:szCs w:val="20"/>
              </w:rPr>
              <w:t>For RLM/BFD/CBD</w:t>
            </w:r>
            <w:r>
              <w:rPr>
                <w:rStyle w:val="eop"/>
                <w:sz w:val="20"/>
                <w:szCs w:val="20"/>
              </w:rPr>
              <w:t> </w:t>
            </w:r>
          </w:p>
          <w:p w14:paraId="5084D17E" w14:textId="77777777" w:rsidR="009133AE" w:rsidRDefault="009133AE" w:rsidP="009133AE">
            <w:pPr>
              <w:pStyle w:val="paragraph"/>
              <w:numPr>
                <w:ilvl w:val="0"/>
                <w:numId w:val="84"/>
              </w:numPr>
              <w:spacing w:before="0" w:beforeAutospacing="0" w:after="0" w:afterAutospacing="0"/>
              <w:ind w:left="2160" w:firstLine="0"/>
              <w:textAlignment w:val="baseline"/>
              <w:rPr>
                <w:sz w:val="22"/>
                <w:szCs w:val="22"/>
              </w:rPr>
            </w:pPr>
            <w:r>
              <w:rPr>
                <w:rStyle w:val="normaltextrun"/>
                <w:sz w:val="20"/>
                <w:szCs w:val="20"/>
              </w:rPr>
              <w:t>Confirm the following for defining the requirements</w:t>
            </w:r>
            <w:r>
              <w:rPr>
                <w:rStyle w:val="eop"/>
                <w:sz w:val="20"/>
                <w:szCs w:val="20"/>
              </w:rPr>
              <w:t> </w:t>
            </w:r>
          </w:p>
          <w:p w14:paraId="1265A804" w14:textId="77777777" w:rsidR="009133AE" w:rsidRDefault="009133AE" w:rsidP="009133AE">
            <w:pPr>
              <w:pStyle w:val="paragraph"/>
              <w:numPr>
                <w:ilvl w:val="0"/>
                <w:numId w:val="85"/>
              </w:numPr>
              <w:spacing w:before="0" w:beforeAutospacing="0" w:after="0" w:afterAutospacing="0"/>
              <w:ind w:left="2880" w:firstLine="0"/>
              <w:textAlignment w:val="baseline"/>
              <w:rPr>
                <w:sz w:val="22"/>
                <w:szCs w:val="22"/>
              </w:rPr>
            </w:pPr>
            <w:r>
              <w:rPr>
                <w:rStyle w:val="normaltextrun"/>
                <w:sz w:val="20"/>
                <w:szCs w:val="20"/>
              </w:rPr>
              <w:t>RAN4 to define requirements based on the assumption that occasions of a single CSI-RS resource are all in the same symbol type.</w:t>
            </w:r>
            <w:r>
              <w:rPr>
                <w:rStyle w:val="eop"/>
                <w:sz w:val="20"/>
                <w:szCs w:val="20"/>
              </w:rPr>
              <w:t> </w:t>
            </w:r>
          </w:p>
          <w:p w14:paraId="60EB61BD" w14:textId="77777777" w:rsidR="009133AE" w:rsidRDefault="009133AE" w:rsidP="606B9295">
            <w:pPr>
              <w:pStyle w:val="paragraph"/>
              <w:numPr>
                <w:ilvl w:val="0"/>
                <w:numId w:val="86"/>
              </w:numPr>
              <w:spacing w:before="0" w:beforeAutospacing="0" w:after="0" w:afterAutospacing="0"/>
              <w:ind w:left="2880" w:firstLine="0"/>
              <w:textAlignment w:val="baseline"/>
              <w:rPr>
                <w:sz w:val="22"/>
                <w:szCs w:val="22"/>
              </w:rPr>
            </w:pPr>
            <w:r w:rsidRPr="606B9295">
              <w:rPr>
                <w:rStyle w:val="normaltextrun"/>
                <w:sz w:val="20"/>
                <w:szCs w:val="20"/>
              </w:rPr>
              <w:t>Existing measurement period apply.</w:t>
            </w:r>
            <w:r w:rsidRPr="606B9295">
              <w:rPr>
                <w:rStyle w:val="eop"/>
                <w:sz w:val="20"/>
                <w:szCs w:val="20"/>
              </w:rPr>
              <w:t> </w:t>
            </w:r>
          </w:p>
          <w:p w14:paraId="714366EB" w14:textId="77777777" w:rsidR="009133AE" w:rsidRDefault="009133AE" w:rsidP="009133AE">
            <w:pPr>
              <w:pStyle w:val="paragraph"/>
              <w:spacing w:before="0" w:beforeAutospacing="0" w:after="0" w:afterAutospacing="0"/>
              <w:textAlignment w:val="baseline"/>
              <w:rPr>
                <w:sz w:val="22"/>
                <w:szCs w:val="22"/>
              </w:rPr>
            </w:pPr>
            <w:r>
              <w:rPr>
                <w:rStyle w:val="normaltextrun"/>
                <w:rFonts w:ascii="Arial" w:hAnsi="Arial" w:cs="Arial"/>
                <w:lang w:val="sv-SE"/>
              </w:rPr>
              <w:t>Issue 2-1-2: Requirements for CSI-RS based L3 measurement </w:t>
            </w:r>
            <w:r>
              <w:rPr>
                <w:rStyle w:val="eop"/>
                <w:rFonts w:ascii="Arial" w:hAnsi="Arial" w:cs="Arial"/>
              </w:rPr>
              <w:t> </w:t>
            </w:r>
          </w:p>
          <w:p w14:paraId="41D0431A" w14:textId="77777777" w:rsidR="009133AE" w:rsidRDefault="009133AE" w:rsidP="009133AE">
            <w:pPr>
              <w:pStyle w:val="paragraph"/>
              <w:numPr>
                <w:ilvl w:val="0"/>
                <w:numId w:val="89"/>
              </w:numPr>
              <w:spacing w:before="0" w:beforeAutospacing="0" w:after="0" w:afterAutospacing="0"/>
              <w:ind w:left="1080" w:firstLine="0"/>
              <w:textAlignment w:val="baseline"/>
              <w:rPr>
                <w:sz w:val="22"/>
                <w:szCs w:val="22"/>
              </w:rPr>
            </w:pPr>
            <w:r>
              <w:rPr>
                <w:rStyle w:val="normaltextrun"/>
                <w:color w:val="0070C0"/>
                <w:sz w:val="20"/>
                <w:szCs w:val="20"/>
              </w:rPr>
              <w:t>Agreements </w:t>
            </w:r>
            <w:r>
              <w:rPr>
                <w:rStyle w:val="eop"/>
                <w:color w:val="0070C0"/>
                <w:sz w:val="20"/>
                <w:szCs w:val="20"/>
              </w:rPr>
              <w:t> </w:t>
            </w:r>
          </w:p>
          <w:p w14:paraId="6DAB0E7D" w14:textId="77777777" w:rsidR="009133AE" w:rsidRDefault="009133AE" w:rsidP="009133AE">
            <w:pPr>
              <w:pStyle w:val="paragraph"/>
              <w:numPr>
                <w:ilvl w:val="0"/>
                <w:numId w:val="90"/>
              </w:numPr>
              <w:spacing w:before="0" w:beforeAutospacing="0" w:after="0" w:afterAutospacing="0"/>
              <w:ind w:left="1440" w:firstLine="0"/>
              <w:textAlignment w:val="baseline"/>
              <w:rPr>
                <w:sz w:val="22"/>
                <w:szCs w:val="22"/>
              </w:rPr>
            </w:pPr>
            <w:r>
              <w:rPr>
                <w:rStyle w:val="normaltextrun"/>
                <w:sz w:val="20"/>
                <w:szCs w:val="20"/>
              </w:rPr>
              <w:t>For DUD case</w:t>
            </w:r>
            <w:r>
              <w:rPr>
                <w:rStyle w:val="eop"/>
                <w:sz w:val="20"/>
                <w:szCs w:val="20"/>
              </w:rPr>
              <w:t> </w:t>
            </w:r>
          </w:p>
          <w:p w14:paraId="5657CDA4" w14:textId="77777777" w:rsidR="009133AE" w:rsidRDefault="009133AE" w:rsidP="009133AE">
            <w:pPr>
              <w:pStyle w:val="paragraph"/>
              <w:numPr>
                <w:ilvl w:val="0"/>
                <w:numId w:val="91"/>
              </w:numPr>
              <w:spacing w:before="0" w:beforeAutospacing="0" w:after="0" w:afterAutospacing="0"/>
              <w:ind w:left="2160" w:firstLine="0"/>
              <w:textAlignment w:val="baseline"/>
              <w:rPr>
                <w:sz w:val="22"/>
                <w:szCs w:val="22"/>
              </w:rPr>
            </w:pPr>
            <w:r>
              <w:rPr>
                <w:rStyle w:val="normaltextrun"/>
                <w:sz w:val="20"/>
                <w:szCs w:val="20"/>
              </w:rPr>
              <w:t>UE measurement requirements would be same as in legacy with the condition that all CSI-RS resources configured for measurement are available in one DL subband of SBFD symbols and/or on non-SBFD DL symbols of the cell transmitting the CSI-RS.</w:t>
            </w:r>
            <w:r>
              <w:rPr>
                <w:rStyle w:val="eop"/>
                <w:sz w:val="20"/>
                <w:szCs w:val="20"/>
              </w:rPr>
              <w:t> </w:t>
            </w:r>
          </w:p>
          <w:p w14:paraId="0178ECB7" w14:textId="77777777" w:rsidR="009133AE" w:rsidRDefault="009133AE" w:rsidP="009133AE">
            <w:pPr>
              <w:pStyle w:val="paragraph"/>
              <w:numPr>
                <w:ilvl w:val="0"/>
                <w:numId w:val="92"/>
              </w:numPr>
              <w:spacing w:before="0" w:beforeAutospacing="0" w:after="0" w:afterAutospacing="0"/>
              <w:ind w:left="1080" w:firstLine="0"/>
              <w:textAlignment w:val="baseline"/>
              <w:rPr>
                <w:sz w:val="22"/>
                <w:szCs w:val="22"/>
              </w:rPr>
            </w:pPr>
            <w:r>
              <w:rPr>
                <w:rStyle w:val="normaltextrun"/>
                <w:color w:val="0070C0"/>
                <w:sz w:val="20"/>
                <w:szCs w:val="20"/>
              </w:rPr>
              <w:t>Agreements (Monday online session)</w:t>
            </w:r>
            <w:r>
              <w:rPr>
                <w:rStyle w:val="eop"/>
                <w:color w:val="0070C0"/>
                <w:sz w:val="20"/>
                <w:szCs w:val="20"/>
              </w:rPr>
              <w:t> </w:t>
            </w:r>
          </w:p>
          <w:p w14:paraId="171DDDAF" w14:textId="77777777" w:rsidR="009133AE" w:rsidRDefault="009133AE" w:rsidP="009133AE">
            <w:pPr>
              <w:pStyle w:val="paragraph"/>
              <w:numPr>
                <w:ilvl w:val="0"/>
                <w:numId w:val="93"/>
              </w:numPr>
              <w:spacing w:before="0" w:beforeAutospacing="0" w:after="0" w:afterAutospacing="0"/>
              <w:ind w:left="1440" w:firstLine="0"/>
              <w:textAlignment w:val="baseline"/>
              <w:rPr>
                <w:sz w:val="22"/>
                <w:szCs w:val="22"/>
              </w:rPr>
            </w:pPr>
            <w:r>
              <w:rPr>
                <w:rStyle w:val="normaltextrun"/>
                <w:sz w:val="20"/>
                <w:szCs w:val="20"/>
              </w:rPr>
              <w:t>For collision between CSI-RS resource and dynamic UL transmission</w:t>
            </w:r>
            <w:r>
              <w:rPr>
                <w:rStyle w:val="eop"/>
                <w:sz w:val="20"/>
                <w:szCs w:val="20"/>
              </w:rPr>
              <w:t> </w:t>
            </w:r>
          </w:p>
          <w:p w14:paraId="6FCE34B3" w14:textId="77777777" w:rsidR="009133AE" w:rsidRDefault="009133AE" w:rsidP="606B9295">
            <w:pPr>
              <w:pStyle w:val="paragraph"/>
              <w:numPr>
                <w:ilvl w:val="0"/>
                <w:numId w:val="94"/>
              </w:numPr>
              <w:spacing w:before="0" w:beforeAutospacing="0" w:after="0" w:afterAutospacing="0"/>
              <w:ind w:left="2160" w:firstLine="0"/>
              <w:textAlignment w:val="baseline"/>
              <w:rPr>
                <w:sz w:val="22"/>
                <w:szCs w:val="22"/>
              </w:rPr>
            </w:pPr>
            <w:r w:rsidRPr="606B9295">
              <w:rPr>
                <w:rStyle w:val="normaltextrun"/>
                <w:sz w:val="20"/>
                <w:szCs w:val="20"/>
              </w:rPr>
              <w:t>existing scheduling restriction apply, i.e. CSI-RS based L3 measurement is prioritized</w:t>
            </w:r>
            <w:r w:rsidRPr="606B9295">
              <w:rPr>
                <w:rStyle w:val="eop"/>
                <w:sz w:val="20"/>
                <w:szCs w:val="20"/>
              </w:rPr>
              <w:t> </w:t>
            </w:r>
          </w:p>
          <w:p w14:paraId="54C8B039" w14:textId="77777777" w:rsidR="009133AE" w:rsidRDefault="009133AE" w:rsidP="009133AE">
            <w:pPr>
              <w:pStyle w:val="paragraph"/>
              <w:spacing w:before="0" w:beforeAutospacing="0" w:after="0" w:afterAutospacing="0"/>
              <w:textAlignment w:val="baseline"/>
              <w:rPr>
                <w:sz w:val="22"/>
                <w:szCs w:val="22"/>
              </w:rPr>
            </w:pPr>
            <w:r>
              <w:rPr>
                <w:rStyle w:val="normaltextrun"/>
                <w:rFonts w:ascii="Arial" w:hAnsi="Arial" w:cs="Arial"/>
                <w:lang w:val="sv-SE"/>
              </w:rPr>
              <w:t>Issue 2-1-3: Requirements for scheduling restriction  </w:t>
            </w:r>
            <w:r>
              <w:rPr>
                <w:rStyle w:val="eop"/>
                <w:rFonts w:ascii="Arial" w:hAnsi="Arial" w:cs="Arial"/>
              </w:rPr>
              <w:t> </w:t>
            </w:r>
          </w:p>
          <w:p w14:paraId="321D603C" w14:textId="77777777" w:rsidR="009133AE" w:rsidRDefault="009133AE" w:rsidP="009133AE">
            <w:pPr>
              <w:pStyle w:val="paragraph"/>
              <w:numPr>
                <w:ilvl w:val="0"/>
                <w:numId w:val="95"/>
              </w:numPr>
              <w:spacing w:before="0" w:beforeAutospacing="0" w:after="0" w:afterAutospacing="0"/>
              <w:ind w:left="1080" w:firstLine="0"/>
              <w:textAlignment w:val="baseline"/>
              <w:rPr>
                <w:sz w:val="22"/>
                <w:szCs w:val="22"/>
              </w:rPr>
            </w:pPr>
            <w:r>
              <w:rPr>
                <w:rStyle w:val="normaltextrun"/>
                <w:color w:val="0070C0"/>
                <w:sz w:val="20"/>
                <w:szCs w:val="20"/>
              </w:rPr>
              <w:t>Agreements </w:t>
            </w:r>
            <w:r>
              <w:rPr>
                <w:rStyle w:val="eop"/>
                <w:color w:val="0070C0"/>
                <w:sz w:val="20"/>
                <w:szCs w:val="20"/>
              </w:rPr>
              <w:t> </w:t>
            </w:r>
          </w:p>
          <w:p w14:paraId="2C01BC5C" w14:textId="77777777" w:rsidR="009133AE" w:rsidRDefault="009133AE" w:rsidP="009133AE">
            <w:pPr>
              <w:pStyle w:val="paragraph"/>
              <w:numPr>
                <w:ilvl w:val="0"/>
                <w:numId w:val="96"/>
              </w:numPr>
              <w:spacing w:before="0" w:beforeAutospacing="0" w:after="0" w:afterAutospacing="0"/>
              <w:ind w:left="1440" w:firstLine="0"/>
              <w:textAlignment w:val="baseline"/>
              <w:rPr>
                <w:sz w:val="22"/>
                <w:szCs w:val="22"/>
              </w:rPr>
            </w:pPr>
            <w:r>
              <w:rPr>
                <w:rStyle w:val="normaltextrun"/>
                <w:sz w:val="20"/>
                <w:szCs w:val="20"/>
              </w:rPr>
              <w:t>Do not define new scheduling restriction requirements for transition between UL and DL.</w:t>
            </w:r>
            <w:r>
              <w:rPr>
                <w:rStyle w:val="eop"/>
                <w:sz w:val="20"/>
                <w:szCs w:val="20"/>
              </w:rPr>
              <w:t> </w:t>
            </w:r>
          </w:p>
          <w:p w14:paraId="33FA0050" w14:textId="1B5954FD" w:rsidR="00EA373F" w:rsidRPr="007956EC" w:rsidRDefault="009133AE" w:rsidP="007956EC">
            <w:pPr>
              <w:pStyle w:val="paragraph"/>
              <w:numPr>
                <w:ilvl w:val="0"/>
                <w:numId w:val="97"/>
              </w:numPr>
              <w:spacing w:before="0" w:beforeAutospacing="0" w:after="0" w:afterAutospacing="0"/>
              <w:ind w:left="1440" w:firstLine="0"/>
              <w:textAlignment w:val="baseline"/>
              <w:rPr>
                <w:sz w:val="22"/>
                <w:szCs w:val="22"/>
              </w:rPr>
            </w:pPr>
            <w:r w:rsidRPr="1F9995C0">
              <w:rPr>
                <w:rStyle w:val="normaltextrun"/>
                <w:sz w:val="20"/>
                <w:szCs w:val="20"/>
              </w:rPr>
              <w:t>RAN4 to use the existing scheduling restriction requirements for inter-frequency SSB measurement without gap as a starting point, i.e. no new restriction is defined.</w:t>
            </w:r>
            <w:r w:rsidRPr="1F9995C0">
              <w:rPr>
                <w:rStyle w:val="eop"/>
                <w:sz w:val="20"/>
                <w:szCs w:val="20"/>
              </w:rPr>
              <w:t> </w:t>
            </w:r>
          </w:p>
        </w:tc>
      </w:tr>
    </w:tbl>
    <w:p w14:paraId="600417C5" w14:textId="09E502F7" w:rsidR="00C16A17" w:rsidRPr="00585E5D" w:rsidRDefault="00C16A17" w:rsidP="005C23A4">
      <w:pPr>
        <w:rPr>
          <w:lang w:val="en-US"/>
        </w:rPr>
      </w:pPr>
    </w:p>
    <w:p w14:paraId="0A34AB38" w14:textId="77777777" w:rsidR="00BE2F57" w:rsidRPr="00585E5D" w:rsidRDefault="00BE2F57" w:rsidP="00BE2F57">
      <w:pPr>
        <w:pStyle w:val="RAN4H1"/>
        <w:rPr>
          <w:lang w:val="en-US"/>
        </w:rPr>
      </w:pPr>
      <w:bookmarkStart w:id="4" w:name="_Toc116995842"/>
      <w:r w:rsidRPr="00585E5D">
        <w:rPr>
          <w:lang w:val="en-US"/>
        </w:rPr>
        <w:t>Discussion</w:t>
      </w:r>
    </w:p>
    <w:p w14:paraId="693405CD" w14:textId="6D448A14" w:rsidR="0023302A" w:rsidRDefault="004E3761" w:rsidP="000D03E4">
      <w:pPr>
        <w:pStyle w:val="RAN4H2"/>
        <w:ind w:left="431" w:hanging="431"/>
      </w:pPr>
      <w:r>
        <w:t>Requirements for CSI-RS</w:t>
      </w:r>
      <w:r w:rsidR="0023302A" w:rsidRPr="00585E5D">
        <w:t xml:space="preserve"> </w:t>
      </w:r>
      <w:r w:rsidR="004245EF">
        <w:t xml:space="preserve">based </w:t>
      </w:r>
      <w:r w:rsidR="0023302A" w:rsidRPr="00585E5D">
        <w:t xml:space="preserve">L1 measurement </w:t>
      </w:r>
    </w:p>
    <w:p w14:paraId="1ACF8185" w14:textId="454F6FEC" w:rsidR="00D81F1A" w:rsidRDefault="00B46471" w:rsidP="00585E5D">
      <w:pPr>
        <w:pStyle w:val="RAN4H3"/>
        <w:rPr>
          <w:lang w:val="en-US"/>
        </w:rPr>
      </w:pPr>
      <w:r w:rsidRPr="00B46471">
        <w:t>CSI-RS puncturing in frequency domain in SBFD symbols</w:t>
      </w:r>
    </w:p>
    <w:p w14:paraId="785F9199" w14:textId="784FC132" w:rsidR="005B280F" w:rsidRDefault="005B280F" w:rsidP="00BD789E">
      <w:pPr>
        <w:rPr>
          <w:lang w:val="en-US"/>
        </w:rPr>
      </w:pPr>
      <w:r>
        <w:rPr>
          <w:lang w:val="en-US"/>
        </w:rPr>
        <w:t xml:space="preserve">The L1 measurement requirements for the case in which the CSI-RS </w:t>
      </w:r>
      <w:r w:rsidR="00D20DFF">
        <w:rPr>
          <w:rFonts w:hint="eastAsia"/>
          <w:lang w:val="en-US" w:eastAsia="zh-CN"/>
        </w:rPr>
        <w:t xml:space="preserve">resource </w:t>
      </w:r>
      <w:r>
        <w:rPr>
          <w:lang w:val="en-US"/>
        </w:rPr>
        <w:t>is split across two subbands (DUD) ha</w:t>
      </w:r>
      <w:r w:rsidR="00F47AAC">
        <w:rPr>
          <w:lang w:val="en-US"/>
        </w:rPr>
        <w:t>ve</w:t>
      </w:r>
      <w:r>
        <w:rPr>
          <w:lang w:val="en-US"/>
        </w:rPr>
        <w:t xml:space="preserve"> been discussed in RAN4 for the cases below:</w:t>
      </w:r>
    </w:p>
    <w:p w14:paraId="79800394" w14:textId="77777777" w:rsidR="005B280F" w:rsidRPr="005B280F" w:rsidRDefault="005B280F" w:rsidP="005B280F">
      <w:pPr>
        <w:numPr>
          <w:ilvl w:val="0"/>
          <w:numId w:val="66"/>
        </w:numPr>
      </w:pPr>
      <w:r w:rsidRPr="005B280F">
        <w:t>Case 1: X1 &gt;= X3 and X2 &gt;= X3</w:t>
      </w:r>
    </w:p>
    <w:p w14:paraId="3F163682" w14:textId="77777777" w:rsidR="005B280F" w:rsidRPr="005B280F" w:rsidRDefault="005B280F" w:rsidP="005B280F">
      <w:pPr>
        <w:numPr>
          <w:ilvl w:val="0"/>
          <w:numId w:val="66"/>
        </w:numPr>
      </w:pPr>
      <w:r w:rsidRPr="005B280F">
        <w:t>Case 2: X1 &gt;= X3 and X2 &lt; X3</w:t>
      </w:r>
    </w:p>
    <w:p w14:paraId="5235E8E0" w14:textId="77777777" w:rsidR="005B280F" w:rsidRPr="005B280F" w:rsidRDefault="005B280F" w:rsidP="005B280F">
      <w:pPr>
        <w:numPr>
          <w:ilvl w:val="0"/>
          <w:numId w:val="66"/>
        </w:numPr>
      </w:pPr>
      <w:r w:rsidRPr="005B280F">
        <w:t>Case 3: X1 &lt; X3 and X2 &lt; X3, (X1 + X2) &gt;= X3</w:t>
      </w:r>
    </w:p>
    <w:p w14:paraId="7933B66F" w14:textId="77777777" w:rsidR="005B280F" w:rsidRPr="005B280F" w:rsidRDefault="005B280F" w:rsidP="005B280F">
      <w:r w:rsidRPr="005B280F">
        <w:t>where X1 and X2 are CSI-RS BW in DL sub-band #1 and sub-band #2, and X3 is the min BW with which the existing accuracy requirements apply (X3=48 for L1-RSRP/L1-SINR and X3=24 for RLM/BFD/CBD).</w:t>
      </w:r>
    </w:p>
    <w:p w14:paraId="2799E155" w14:textId="6B34F638" w:rsidR="0023302A" w:rsidRDefault="00BD789E" w:rsidP="00BD789E">
      <w:pPr>
        <w:rPr>
          <w:lang w:val="en-US"/>
        </w:rPr>
      </w:pPr>
      <w:r>
        <w:rPr>
          <w:lang w:val="en-US"/>
        </w:rPr>
        <w:t>T</w:t>
      </w:r>
      <w:r w:rsidR="00BD4880" w:rsidRPr="00585E5D">
        <w:rPr>
          <w:lang w:val="en-US"/>
        </w:rPr>
        <w:t>he following issues</w:t>
      </w:r>
      <w:r w:rsidR="00691B02" w:rsidRPr="00585E5D">
        <w:rPr>
          <w:lang w:val="en-US"/>
        </w:rPr>
        <w:t xml:space="preserve"> related </w:t>
      </w:r>
      <w:r w:rsidR="006C0336" w:rsidRPr="00585E5D">
        <w:rPr>
          <w:lang w:val="en-US"/>
        </w:rPr>
        <w:t xml:space="preserve">to </w:t>
      </w:r>
      <w:r w:rsidR="00691B02" w:rsidRPr="00585E5D">
        <w:rPr>
          <w:lang w:val="en-US"/>
        </w:rPr>
        <w:t>CSI-RS</w:t>
      </w:r>
      <w:r w:rsidR="00BD4880" w:rsidRPr="00585E5D">
        <w:rPr>
          <w:lang w:val="en-US"/>
        </w:rPr>
        <w:t xml:space="preserve"> </w:t>
      </w:r>
      <w:r w:rsidR="004C26FD">
        <w:rPr>
          <w:lang w:val="en-US"/>
        </w:rPr>
        <w:t xml:space="preserve">based L1 measurement </w:t>
      </w:r>
      <w:r>
        <w:rPr>
          <w:lang w:val="en-US"/>
        </w:rPr>
        <w:t xml:space="preserve">were discussed </w:t>
      </w:r>
      <w:r w:rsidR="00775B75">
        <w:rPr>
          <w:rFonts w:hint="eastAsia"/>
          <w:lang w:val="en-US" w:eastAsia="zh-CN"/>
        </w:rPr>
        <w:t xml:space="preserve">and agreed </w:t>
      </w:r>
      <w:r>
        <w:rPr>
          <w:lang w:val="en-US"/>
        </w:rPr>
        <w:t>in RAN4 #114</w:t>
      </w:r>
      <w:r w:rsidR="00775B75">
        <w:rPr>
          <w:rFonts w:hint="eastAsia"/>
          <w:lang w:val="en-US" w:eastAsia="zh-CN"/>
        </w:rPr>
        <w:t>bis and RAN4#115 meetings</w:t>
      </w:r>
      <w:r>
        <w:rPr>
          <w:lang w:val="en-US"/>
        </w:rPr>
        <w:t xml:space="preserve">: </w:t>
      </w:r>
    </w:p>
    <w:tbl>
      <w:tblPr>
        <w:tblStyle w:val="TableGrid"/>
        <w:tblW w:w="0" w:type="auto"/>
        <w:tblLook w:val="04A0" w:firstRow="1" w:lastRow="0" w:firstColumn="1" w:lastColumn="0" w:noHBand="0" w:noVBand="1"/>
      </w:tblPr>
      <w:tblGrid>
        <w:gridCol w:w="9617"/>
      </w:tblGrid>
      <w:tr w:rsidR="00631377" w14:paraId="1C8BF021" w14:textId="77777777" w:rsidTr="00631377">
        <w:tc>
          <w:tcPr>
            <w:tcW w:w="9617" w:type="dxa"/>
          </w:tcPr>
          <w:p w14:paraId="03DD9467" w14:textId="43E47B9B" w:rsidR="00631377" w:rsidRPr="00352214" w:rsidRDefault="00F250AD" w:rsidP="00352214">
            <w:pPr>
              <w:pStyle w:val="ListParagraph"/>
              <w:numPr>
                <w:ilvl w:val="0"/>
                <w:numId w:val="58"/>
              </w:numPr>
              <w:autoSpaceDN w:val="0"/>
              <w:spacing w:after="120"/>
              <w:contextualSpacing w:val="0"/>
              <w:rPr>
                <w:rFonts w:eastAsia="SimSun"/>
                <w:color w:val="0070C0"/>
                <w:szCs w:val="24"/>
                <w:lang w:eastAsia="zh-CN"/>
              </w:rPr>
            </w:pPr>
            <w:r w:rsidRPr="00352214">
              <w:rPr>
                <w:rFonts w:eastAsia="SimSun" w:hint="eastAsia"/>
                <w:color w:val="0070C0"/>
                <w:szCs w:val="24"/>
                <w:lang w:eastAsia="zh-CN"/>
              </w:rPr>
              <w:t>RAN4#114</w:t>
            </w:r>
            <w:r w:rsidR="00F7112F" w:rsidRPr="00352214">
              <w:rPr>
                <w:rFonts w:eastAsia="SimSun" w:hint="eastAsia"/>
                <w:color w:val="0070C0"/>
                <w:szCs w:val="24"/>
                <w:lang w:eastAsia="zh-CN"/>
              </w:rPr>
              <w:t>bis</w:t>
            </w:r>
            <w:r w:rsidRPr="00352214">
              <w:rPr>
                <w:rFonts w:eastAsia="SimSun" w:hint="eastAsia"/>
                <w:color w:val="0070C0"/>
                <w:szCs w:val="24"/>
                <w:lang w:eastAsia="zh-CN"/>
              </w:rPr>
              <w:t xml:space="preserve"> </w:t>
            </w:r>
            <w:r w:rsidR="00631377" w:rsidRPr="00352214">
              <w:rPr>
                <w:rFonts w:eastAsia="SimSun"/>
                <w:color w:val="0070C0"/>
                <w:szCs w:val="24"/>
                <w:lang w:eastAsia="zh-CN"/>
              </w:rPr>
              <w:t>Agreements (adhoc session on Thursday with additions)</w:t>
            </w:r>
          </w:p>
          <w:p w14:paraId="6692E41F" w14:textId="77777777" w:rsidR="00631377" w:rsidRPr="00D05C9C" w:rsidRDefault="00631377" w:rsidP="00F250AD">
            <w:pPr>
              <w:numPr>
                <w:ilvl w:val="1"/>
                <w:numId w:val="58"/>
              </w:numPr>
              <w:snapToGrid w:val="0"/>
              <w:spacing w:after="120"/>
            </w:pPr>
            <w:r w:rsidRPr="00D05C9C">
              <w:t>Note: the following are for UE that can support simultaneous PDSCH reception on the two DL subbands for DUD</w:t>
            </w:r>
          </w:p>
          <w:p w14:paraId="2C4655A6" w14:textId="77777777" w:rsidR="00631377" w:rsidRPr="00D05C9C" w:rsidRDefault="00631377" w:rsidP="00F250AD">
            <w:pPr>
              <w:numPr>
                <w:ilvl w:val="1"/>
                <w:numId w:val="58"/>
              </w:numPr>
              <w:snapToGrid w:val="0"/>
              <w:spacing w:after="120"/>
            </w:pPr>
            <w:r w:rsidRPr="00D05C9C">
              <w:t>Existing delay (number of samples) requirements and accuracy requirements apply for Case 1 and Case 2</w:t>
            </w:r>
          </w:p>
          <w:p w14:paraId="215099B9" w14:textId="77777777" w:rsidR="00631377" w:rsidRPr="00D05C9C" w:rsidRDefault="00631377" w:rsidP="00F250AD">
            <w:pPr>
              <w:numPr>
                <w:ilvl w:val="1"/>
                <w:numId w:val="58"/>
              </w:numPr>
              <w:snapToGrid w:val="0"/>
              <w:spacing w:after="120"/>
            </w:pPr>
            <w:r w:rsidRPr="00D05C9C">
              <w:t>If UE indicates that CSI processing time is scaled by 2, further discuss whether and how to update the delay requirements</w:t>
            </w:r>
          </w:p>
          <w:p w14:paraId="2C260E92" w14:textId="77777777" w:rsidR="00631377" w:rsidRPr="00D05C9C" w:rsidRDefault="00631377" w:rsidP="00F250AD">
            <w:pPr>
              <w:numPr>
                <w:ilvl w:val="2"/>
                <w:numId w:val="58"/>
              </w:numPr>
              <w:snapToGrid w:val="0"/>
              <w:spacing w:after="120"/>
            </w:pPr>
            <w:r w:rsidRPr="00D05C9C">
              <w:t>Option 1: Add a lower bound of 8ms on top of existing delay requirements.</w:t>
            </w:r>
          </w:p>
          <w:p w14:paraId="4B09D200" w14:textId="77777777" w:rsidR="00631377" w:rsidRPr="00D05C9C" w:rsidRDefault="00631377" w:rsidP="00F250AD">
            <w:pPr>
              <w:numPr>
                <w:ilvl w:val="2"/>
                <w:numId w:val="58"/>
              </w:numPr>
              <w:snapToGrid w:val="0"/>
              <w:spacing w:after="120"/>
            </w:pPr>
            <w:r w:rsidRPr="00D05C9C">
              <w:t>Option 2: other</w:t>
            </w:r>
          </w:p>
          <w:p w14:paraId="52CA3778" w14:textId="77777777" w:rsidR="00631377" w:rsidRPr="00D05C9C" w:rsidRDefault="00631377" w:rsidP="00F250AD">
            <w:pPr>
              <w:numPr>
                <w:ilvl w:val="1"/>
                <w:numId w:val="58"/>
              </w:numPr>
              <w:snapToGrid w:val="0"/>
              <w:spacing w:after="120"/>
            </w:pPr>
            <w:r w:rsidRPr="00D05C9C">
              <w:t>For Case 3</w:t>
            </w:r>
          </w:p>
          <w:p w14:paraId="32BEDEE5" w14:textId="77777777" w:rsidR="00631377" w:rsidRPr="00D05C9C" w:rsidRDefault="00631377" w:rsidP="00F250AD">
            <w:pPr>
              <w:numPr>
                <w:ilvl w:val="2"/>
                <w:numId w:val="58"/>
              </w:numPr>
              <w:snapToGrid w:val="0"/>
              <w:spacing w:after="120"/>
            </w:pPr>
            <w:r w:rsidRPr="00D05C9C">
              <w:t>For L1-RSRP and L1-SINR, existing delay requirements apply and accuracy requirements are relaxed provided that X1 &gt; X4 or X2 &gt; X4, where the accuracy requirements depend on the X4 = 24 PRBs</w:t>
            </w:r>
          </w:p>
          <w:p w14:paraId="59D0741A" w14:textId="77777777" w:rsidR="00631377" w:rsidRDefault="00631377" w:rsidP="00F250AD">
            <w:pPr>
              <w:numPr>
                <w:ilvl w:val="3"/>
                <w:numId w:val="58"/>
              </w:numPr>
              <w:snapToGrid w:val="0"/>
              <w:spacing w:after="120"/>
            </w:pPr>
            <w:r w:rsidRPr="00D05C9C">
              <w:t>In the test case, not model the interfering UE.</w:t>
            </w:r>
          </w:p>
          <w:p w14:paraId="7EF7F2A2" w14:textId="334AB643" w:rsidR="00F250AD" w:rsidRDefault="00E24D54" w:rsidP="00F250AD">
            <w:pPr>
              <w:pStyle w:val="ListParagraph"/>
              <w:numPr>
                <w:ilvl w:val="0"/>
                <w:numId w:val="58"/>
              </w:numPr>
              <w:autoSpaceDN w:val="0"/>
              <w:spacing w:after="120"/>
              <w:contextualSpacing w:val="0"/>
              <w:rPr>
                <w:rFonts w:eastAsia="SimSun"/>
                <w:color w:val="0070C0"/>
                <w:szCs w:val="24"/>
                <w:lang w:eastAsia="zh-CN"/>
              </w:rPr>
            </w:pPr>
            <w:r>
              <w:rPr>
                <w:rFonts w:eastAsia="SimSun" w:hint="eastAsia"/>
                <w:color w:val="0070C0"/>
                <w:szCs w:val="24"/>
                <w:lang w:eastAsia="zh-CN"/>
              </w:rPr>
              <w:t xml:space="preserve">RAN4#115 </w:t>
            </w:r>
            <w:r w:rsidR="00F250AD">
              <w:rPr>
                <w:rFonts w:eastAsia="SimSun"/>
                <w:color w:val="0070C0"/>
                <w:szCs w:val="24"/>
                <w:lang w:eastAsia="zh-CN"/>
              </w:rPr>
              <w:t xml:space="preserve">Agreement </w:t>
            </w:r>
          </w:p>
          <w:p w14:paraId="092439F9" w14:textId="77777777" w:rsidR="00F250AD" w:rsidRDefault="00F250AD" w:rsidP="00F250AD">
            <w:pPr>
              <w:pStyle w:val="ListParagraph"/>
              <w:numPr>
                <w:ilvl w:val="1"/>
                <w:numId w:val="58"/>
              </w:numPr>
              <w:overflowPunct w:val="0"/>
              <w:autoSpaceDE w:val="0"/>
              <w:autoSpaceDN w:val="0"/>
              <w:adjustRightInd w:val="0"/>
              <w:spacing w:after="180"/>
              <w:contextualSpacing w:val="0"/>
              <w:rPr>
                <w:rFonts w:eastAsia="SimSun"/>
                <w:szCs w:val="24"/>
                <w:lang w:eastAsia="zh-CN"/>
              </w:rPr>
            </w:pPr>
            <w:r>
              <w:rPr>
                <w:rFonts w:eastAsia="SimSun"/>
                <w:szCs w:val="24"/>
                <w:lang w:eastAsia="zh-CN"/>
              </w:rPr>
              <w:t>Define relaxed accuracy requirements based on 24 RB for Case 3 following RAN4#114-bis agreement, based on the simulation assumption in Annex.</w:t>
            </w:r>
          </w:p>
          <w:p w14:paraId="712466E2" w14:textId="29DDBA7C" w:rsidR="00F250AD" w:rsidRPr="007768A1" w:rsidRDefault="00F250AD" w:rsidP="007768A1">
            <w:pPr>
              <w:pStyle w:val="ListParagraph"/>
              <w:numPr>
                <w:ilvl w:val="1"/>
                <w:numId w:val="58"/>
              </w:numPr>
              <w:overflowPunct w:val="0"/>
              <w:autoSpaceDE w:val="0"/>
              <w:autoSpaceDN w:val="0"/>
              <w:adjustRightInd w:val="0"/>
              <w:spacing w:after="180"/>
              <w:contextualSpacing w:val="0"/>
              <w:rPr>
                <w:rFonts w:eastAsia="SimSun"/>
                <w:szCs w:val="24"/>
                <w:lang w:eastAsia="zh-CN"/>
              </w:rPr>
            </w:pPr>
            <w:r>
              <w:rPr>
                <w:rFonts w:eastAsia="SimSun"/>
                <w:szCs w:val="24"/>
                <w:lang w:eastAsia="zh-CN"/>
              </w:rPr>
              <w:t>Further discuss the upper bound of the measurement period due to processing time and its applicability.</w:t>
            </w:r>
          </w:p>
        </w:tc>
      </w:tr>
    </w:tbl>
    <w:p w14:paraId="05B2198B" w14:textId="77777777" w:rsidR="005B280F" w:rsidRDefault="005B280F" w:rsidP="005B280F">
      <w:pPr>
        <w:rPr>
          <w:lang w:val="en-US"/>
        </w:rPr>
      </w:pPr>
    </w:p>
    <w:p w14:paraId="23B1F6C3" w14:textId="0BCE1C36" w:rsidR="215D969C" w:rsidRDefault="005B280F" w:rsidP="6389C381">
      <w:pPr>
        <w:rPr>
          <w:b/>
          <w:lang w:val="en-US" w:eastAsia="zh-CN"/>
        </w:rPr>
      </w:pPr>
      <w:r>
        <w:rPr>
          <w:lang w:val="en-US"/>
        </w:rPr>
        <w:t>The support for PDSCH reception on two subbands for DUD has been discussed in past RAN1 meetings. Below we include the list of relevant agreements from RAN1</w:t>
      </w:r>
      <w:r w:rsidR="00C15A27">
        <w:rPr>
          <w:lang w:val="en-US"/>
        </w:rPr>
        <w:t>.</w:t>
      </w:r>
      <w:r>
        <w:rPr>
          <w:lang w:val="en-US"/>
        </w:rPr>
        <w:t xml:space="preserve"> </w:t>
      </w:r>
      <w:r w:rsidR="004617B0">
        <w:rPr>
          <w:lang w:val="en-US" w:eastAsia="zh-CN"/>
        </w:rPr>
        <w:t xml:space="preserve">The following has been agreed in </w:t>
      </w:r>
      <w:r w:rsidR="004617B0" w:rsidRPr="00927D71">
        <w:rPr>
          <w:b/>
          <w:lang w:val="en-US" w:eastAsia="zh-CN"/>
        </w:rPr>
        <w:t>R1-</w:t>
      </w:r>
      <w:r w:rsidR="00927D71" w:rsidRPr="00927D71">
        <w:rPr>
          <w:b/>
          <w:bCs/>
          <w:lang w:val="en-US" w:eastAsia="zh-CN"/>
        </w:rPr>
        <w:t>2504673</w:t>
      </w:r>
      <w:r w:rsidR="004617B0">
        <w:rPr>
          <w:b/>
          <w:bCs/>
          <w:lang w:val="en-US" w:eastAsia="zh-CN"/>
        </w:rPr>
        <w: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471"/>
        <w:gridCol w:w="427"/>
        <w:gridCol w:w="2061"/>
        <w:gridCol w:w="5529"/>
      </w:tblGrid>
      <w:tr w:rsidR="00FE001D" w:rsidRPr="002616B5" w14:paraId="0C6B7B93" w14:textId="77777777" w:rsidTr="007768A1">
        <w:tc>
          <w:tcPr>
            <w:tcW w:w="14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17991C" w14:textId="77777777" w:rsidR="00FE001D" w:rsidRPr="002616B5" w:rsidRDefault="00FE001D" w:rsidP="002616B5">
            <w:pPr>
              <w:rPr>
                <w:lang w:eastAsia="zh-CN"/>
              </w:rPr>
            </w:pPr>
            <w:r w:rsidRPr="002616B5">
              <w:rPr>
                <w:lang w:eastAsia="zh-CN"/>
              </w:rPr>
              <w:t>60. NR_duplex_evo</w:t>
            </w:r>
          </w:p>
        </w:tc>
        <w:tc>
          <w:tcPr>
            <w:tcW w:w="4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599300" w14:textId="77777777" w:rsidR="00FE001D" w:rsidRPr="002616B5" w:rsidRDefault="00FE001D" w:rsidP="002616B5">
            <w:pPr>
              <w:rPr>
                <w:lang w:eastAsia="zh-CN"/>
              </w:rPr>
            </w:pPr>
            <w:r w:rsidRPr="002616B5">
              <w:rPr>
                <w:lang w:eastAsia="zh-CN"/>
              </w:rPr>
              <w:t>60-1</w:t>
            </w:r>
          </w:p>
        </w:tc>
        <w:tc>
          <w:tcPr>
            <w:tcW w:w="20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6939F2" w14:textId="77777777" w:rsidR="00FE001D" w:rsidRPr="002616B5" w:rsidRDefault="00FE001D" w:rsidP="002616B5">
            <w:pPr>
              <w:rPr>
                <w:lang w:eastAsia="zh-CN"/>
              </w:rPr>
            </w:pPr>
            <w:r w:rsidRPr="002616B5">
              <w:rPr>
                <w:lang w:eastAsia="zh-CN"/>
              </w:rPr>
              <w:t>Basic feature for SBFD-aware UE TX/RX/measurement behaviour and procedures</w:t>
            </w:r>
          </w:p>
        </w:tc>
        <w:tc>
          <w:tcPr>
            <w:tcW w:w="55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E0D5AD" w14:textId="77777777" w:rsidR="00FE001D" w:rsidRPr="002616B5" w:rsidRDefault="00FE001D" w:rsidP="002616B5">
            <w:pPr>
              <w:rPr>
                <w:lang w:eastAsia="zh-CN"/>
              </w:rPr>
            </w:pPr>
            <w:r w:rsidRPr="002616B5">
              <w:rPr>
                <w:lang w:eastAsia="zh-CN"/>
              </w:rPr>
              <w:t>1. Support of cell-common configuration of time and frequency location of SBFD subbands</w:t>
            </w:r>
          </w:p>
          <w:p w14:paraId="227222BE" w14:textId="77777777" w:rsidR="00FE001D" w:rsidRPr="002616B5" w:rsidRDefault="00FE001D" w:rsidP="002616B5">
            <w:pPr>
              <w:rPr>
                <w:lang w:eastAsia="zh-CN"/>
              </w:rPr>
            </w:pPr>
            <w:r w:rsidRPr="002616B5">
              <w:rPr>
                <w:lang w:eastAsia="zh-CN"/>
              </w:rPr>
              <w:t>2. Support of UL transmission in one UL subband and DL reception in one</w:t>
            </w:r>
            <w:r w:rsidRPr="007768A1">
              <w:rPr>
                <w:highlight w:val="yellow"/>
                <w:lang w:eastAsia="zh-CN"/>
              </w:rPr>
              <w:t>[/two]</w:t>
            </w:r>
            <w:r w:rsidRPr="002616B5">
              <w:rPr>
                <w:lang w:eastAsia="zh-CN"/>
              </w:rPr>
              <w:t xml:space="preserve"> DL subband in SBFD symbols</w:t>
            </w:r>
          </w:p>
          <w:p w14:paraId="0FABA526" w14:textId="77777777" w:rsidR="00FE001D" w:rsidRPr="002616B5" w:rsidRDefault="00FE001D" w:rsidP="002616B5">
            <w:pPr>
              <w:rPr>
                <w:lang w:eastAsia="zh-CN"/>
              </w:rPr>
            </w:pPr>
            <w:r w:rsidRPr="002616B5">
              <w:rPr>
                <w:lang w:eastAsia="zh-CN"/>
              </w:rPr>
              <w:t>3. Support of link direction determination based on configured/scheduled transmissions/receptions and collision handling</w:t>
            </w:r>
          </w:p>
          <w:p w14:paraId="46EB5947" w14:textId="77777777" w:rsidR="00FE001D" w:rsidRPr="002616B5" w:rsidRDefault="00FE001D" w:rsidP="002616B5">
            <w:pPr>
              <w:rPr>
                <w:lang w:eastAsia="zh-CN"/>
              </w:rPr>
            </w:pPr>
            <w:r w:rsidRPr="002616B5">
              <w:rPr>
                <w:lang w:eastAsia="zh-CN"/>
              </w:rPr>
              <w:t>4. Support of UL transmissions or DL receptions across SBFD symbols and non-SBFD symbols in different slots, where the transmissions or receptions are restricted to SBFD symbols or non-SBFD symbols (Configuration 1)</w:t>
            </w:r>
          </w:p>
          <w:p w14:paraId="4DCCD4A8" w14:textId="77777777" w:rsidR="00FE001D" w:rsidRPr="002616B5" w:rsidRDefault="00FE001D" w:rsidP="002616B5">
            <w:pPr>
              <w:rPr>
                <w:lang w:eastAsia="zh-CN"/>
              </w:rPr>
            </w:pPr>
            <w:r w:rsidRPr="002616B5">
              <w:rPr>
                <w:lang w:eastAsia="zh-CN"/>
              </w:rPr>
              <w:t>5. Support of separate CSI reports for SBFD and non-SBFD symbols</w:t>
            </w:r>
          </w:p>
          <w:p w14:paraId="4606FF08" w14:textId="77777777" w:rsidR="00FE001D" w:rsidRPr="002616B5" w:rsidRDefault="00FE001D" w:rsidP="002616B5">
            <w:pPr>
              <w:rPr>
                <w:lang w:eastAsia="zh-CN"/>
              </w:rPr>
            </w:pPr>
            <w:r w:rsidRPr="002616B5">
              <w:rPr>
                <w:lang w:eastAsia="zh-CN"/>
              </w:rPr>
              <w:t>6. Support of separate PUCCH frequency resource configuration in SBFD symbols and non-SBFD symbols</w:t>
            </w:r>
          </w:p>
          <w:p w14:paraId="1572B31F" w14:textId="77777777" w:rsidR="00FE001D" w:rsidRPr="002616B5" w:rsidRDefault="00FE001D" w:rsidP="002616B5">
            <w:pPr>
              <w:rPr>
                <w:lang w:eastAsia="zh-CN"/>
              </w:rPr>
            </w:pPr>
            <w:r w:rsidRPr="002616B5">
              <w:rPr>
                <w:lang w:eastAsia="zh-CN"/>
              </w:rPr>
              <w:t>7. Support of separate UL power control parameters based on unified TCI framework in SBFD symbols and non-SBFD symbols</w:t>
            </w:r>
          </w:p>
          <w:p w14:paraId="6C4E5E3D" w14:textId="77777777" w:rsidR="00FE001D" w:rsidRPr="002616B5" w:rsidRDefault="00FE001D" w:rsidP="002616B5">
            <w:pPr>
              <w:rPr>
                <w:lang w:eastAsia="zh-CN"/>
              </w:rPr>
            </w:pPr>
            <w:r w:rsidRPr="002616B5">
              <w:rPr>
                <w:lang w:eastAsia="zh-CN"/>
              </w:rPr>
              <w:t>8. Support of separate PUSCH frequency hopping offset in SBFD symbols and non-SBFD symbols</w:t>
            </w:r>
          </w:p>
          <w:p w14:paraId="158229EC" w14:textId="77777777" w:rsidR="00FE001D" w:rsidRPr="002616B5" w:rsidRDefault="00FE001D" w:rsidP="002616B5">
            <w:pPr>
              <w:rPr>
                <w:lang w:eastAsia="zh-CN"/>
              </w:rPr>
            </w:pPr>
            <w:r w:rsidRPr="002616B5">
              <w:rPr>
                <w:lang w:eastAsia="zh-CN"/>
              </w:rPr>
              <w:t>9. Support of separate SRS resource set configuration in SBFD symbols and non-SBFD symbols</w:t>
            </w:r>
          </w:p>
          <w:p w14:paraId="31573DFB" w14:textId="0C633190" w:rsidR="00FE001D" w:rsidRPr="007768A1" w:rsidRDefault="00FE001D" w:rsidP="002616B5">
            <w:pPr>
              <w:rPr>
                <w:highlight w:val="yellow"/>
                <w:lang w:eastAsia="zh-CN"/>
              </w:rPr>
            </w:pPr>
            <w:r w:rsidRPr="002616B5">
              <w:rPr>
                <w:lang w:eastAsia="zh-CN"/>
              </w:rPr>
              <w:t> </w:t>
            </w:r>
            <w:r w:rsidRPr="007768A1">
              <w:rPr>
                <w:highlight w:val="yellow"/>
                <w:lang w:eastAsia="zh-CN"/>
              </w:rPr>
              <w:t>FFS: Whether to include two DL subband support in component 2</w:t>
            </w:r>
          </w:p>
          <w:p w14:paraId="7AF18366" w14:textId="77777777" w:rsidR="00FE001D" w:rsidRPr="002616B5" w:rsidRDefault="00FE001D" w:rsidP="002616B5">
            <w:pPr>
              <w:rPr>
                <w:lang w:eastAsia="zh-CN"/>
              </w:rPr>
            </w:pPr>
            <w:r w:rsidRPr="007768A1">
              <w:rPr>
                <w:highlight w:val="yellow"/>
                <w:lang w:eastAsia="zh-CN"/>
              </w:rPr>
              <w:t>FFS: other component (which may be separate FG)</w:t>
            </w:r>
          </w:p>
        </w:tc>
      </w:tr>
    </w:tbl>
    <w:p w14:paraId="4ABB6602" w14:textId="77777777" w:rsidR="008908E6" w:rsidRDefault="008908E6" w:rsidP="6389C381">
      <w:pPr>
        <w:rPr>
          <w:lang w:val="en-US" w:eastAsia="zh-CN"/>
        </w:rPr>
      </w:pPr>
    </w:p>
    <w:p w14:paraId="41602EDB" w14:textId="62649A8A" w:rsidR="004617B0" w:rsidRDefault="004617B0" w:rsidP="6389C381">
      <w:pPr>
        <w:rPr>
          <w:lang w:val="en-US" w:eastAsia="zh-CN"/>
        </w:rPr>
      </w:pPr>
      <w:r>
        <w:rPr>
          <w:lang w:val="en-US" w:eastAsia="zh-CN"/>
        </w:rPr>
        <w:t>For CSI-RS</w:t>
      </w:r>
      <w:r w:rsidR="00FC2730">
        <w:rPr>
          <w:lang w:val="en-US" w:eastAsia="zh-CN"/>
        </w:rPr>
        <w:t xml:space="preserve"> reception</w:t>
      </w:r>
      <w:r>
        <w:rPr>
          <w:lang w:val="en-US" w:eastAsia="zh-CN"/>
        </w:rPr>
        <w:t xml:space="preserve"> processing, RAN1 agreed that:</w:t>
      </w:r>
    </w:p>
    <w:tbl>
      <w:tblPr>
        <w:tblStyle w:val="TableGrid"/>
        <w:tblW w:w="0" w:type="auto"/>
        <w:tblLook w:val="04A0" w:firstRow="1" w:lastRow="0" w:firstColumn="1" w:lastColumn="0" w:noHBand="0" w:noVBand="1"/>
      </w:tblPr>
      <w:tblGrid>
        <w:gridCol w:w="9617"/>
      </w:tblGrid>
      <w:tr w:rsidR="00BA04D0" w14:paraId="7A188EBC" w14:textId="77777777" w:rsidTr="00FC2730">
        <w:tc>
          <w:tcPr>
            <w:tcW w:w="9617" w:type="dxa"/>
          </w:tcPr>
          <w:p w14:paraId="12A9A678" w14:textId="77777777" w:rsidR="00FC2730" w:rsidRPr="00681241" w:rsidRDefault="00FC2730" w:rsidP="00FC2730">
            <w:pPr>
              <w:rPr>
                <w:b/>
                <w:szCs w:val="20"/>
                <w:lang w:eastAsia="zh-CN"/>
              </w:rPr>
            </w:pPr>
            <w:r w:rsidRPr="0066487E">
              <w:rPr>
                <w:rFonts w:hint="eastAsia"/>
                <w:b/>
                <w:szCs w:val="20"/>
                <w:highlight w:val="green"/>
                <w:lang w:eastAsia="zh-CN"/>
              </w:rPr>
              <w:t>Agreement</w:t>
            </w:r>
            <w:r w:rsidRPr="0066487E">
              <w:rPr>
                <w:b/>
                <w:szCs w:val="20"/>
                <w:highlight w:val="green"/>
                <w:lang w:eastAsia="zh-CN"/>
              </w:rPr>
              <w:t xml:space="preserve"> (RAN1#117)</w:t>
            </w:r>
          </w:p>
          <w:p w14:paraId="1164035E" w14:textId="77777777" w:rsidR="00FC2730" w:rsidRPr="00BC497A" w:rsidRDefault="00FC2730" w:rsidP="00FC2730">
            <w:pPr>
              <w:rPr>
                <w:rFonts w:eastAsia="Microsoft YaHei"/>
                <w:lang w:eastAsia="zh-CN"/>
              </w:rPr>
            </w:pPr>
            <w:r w:rsidRPr="00BC497A">
              <w:rPr>
                <w:rFonts w:eastAsia="Microsoft YaHei"/>
                <w:lang w:eastAsia="zh-CN"/>
              </w:rPr>
              <w:t xml:space="preserve">For a </w:t>
            </w:r>
            <w:r w:rsidRPr="00BC497A">
              <w:rPr>
                <w:rFonts w:eastAsia="Malgun Gothic"/>
                <w:lang w:eastAsia="ko-KR"/>
              </w:rPr>
              <w:t xml:space="preserve">contiguous </w:t>
            </w:r>
            <w:r w:rsidRPr="00BC497A">
              <w:rPr>
                <w:rFonts w:eastAsia="Microsoft YaHei"/>
                <w:lang w:eastAsia="zh-CN"/>
              </w:rPr>
              <w:t xml:space="preserve">CSI-RS resource which overlaps with SBFD subband boundaries, </w:t>
            </w:r>
            <w:r w:rsidRPr="00BC497A">
              <w:rPr>
                <w:lang w:eastAsia="zh-CN"/>
              </w:rPr>
              <w:t>o</w:t>
            </w:r>
            <w:r w:rsidRPr="00BC497A">
              <w:t xml:space="preserve">nly CSI-RS </w:t>
            </w:r>
            <w:r>
              <w:t xml:space="preserve">frequency </w:t>
            </w:r>
            <w:r w:rsidRPr="00BC497A">
              <w:t>resources within DL usable PRBs are valid for SBFD-aware.</w:t>
            </w:r>
          </w:p>
          <w:p w14:paraId="44E1E259" w14:textId="77777777" w:rsidR="00FC2730" w:rsidRDefault="00FC2730" w:rsidP="00FC2730">
            <w:pPr>
              <w:numPr>
                <w:ilvl w:val="1"/>
                <w:numId w:val="63"/>
              </w:numPr>
              <w:suppressAutoHyphens/>
              <w:spacing w:line="259" w:lineRule="auto"/>
              <w:jc w:val="both"/>
              <w:rPr>
                <w:lang w:eastAsia="zh-CN"/>
              </w:rPr>
            </w:pPr>
            <w:r>
              <w:rPr>
                <w:rFonts w:hint="eastAsia"/>
                <w:lang w:eastAsia="zh-CN"/>
              </w:rPr>
              <w:t>N</w:t>
            </w:r>
            <w:r>
              <w:rPr>
                <w:lang w:eastAsia="zh-CN"/>
              </w:rPr>
              <w:t>o impact on CSI-RS sequence generation</w:t>
            </w:r>
          </w:p>
        </w:tc>
      </w:tr>
    </w:tbl>
    <w:p w14:paraId="481A40F0" w14:textId="1323A093" w:rsidR="00FC2730" w:rsidRDefault="00090AA3" w:rsidP="00D12BF3">
      <w:pPr>
        <w:rPr>
          <w:b/>
          <w:bCs/>
          <w:lang w:val="en-US" w:eastAsia="zh-CN"/>
        </w:rPr>
      </w:pPr>
      <w:r>
        <w:rPr>
          <w:lang w:eastAsia="zh-CN"/>
        </w:rPr>
        <w:br/>
      </w:r>
      <w:r w:rsidR="00FC2730">
        <w:rPr>
          <w:lang w:eastAsia="zh-CN"/>
        </w:rPr>
        <w:t>CSI-RS sequence mapping is applied to CSI-RS resources within DL usable PRBs only (effectively, this is same as the case when the CSI-RS sequence mapped to the RBs outside the DL usable PRBs are punctured)</w:t>
      </w:r>
    </w:p>
    <w:tbl>
      <w:tblPr>
        <w:tblStyle w:val="TableGrid"/>
        <w:tblW w:w="0" w:type="auto"/>
        <w:tblLook w:val="04A0" w:firstRow="1" w:lastRow="0" w:firstColumn="1" w:lastColumn="0" w:noHBand="0" w:noVBand="1"/>
      </w:tblPr>
      <w:tblGrid>
        <w:gridCol w:w="9617"/>
      </w:tblGrid>
      <w:tr w:rsidR="00FC2730" w14:paraId="7D53A21D" w14:textId="77777777" w:rsidTr="00FC2730">
        <w:tc>
          <w:tcPr>
            <w:tcW w:w="9617" w:type="dxa"/>
          </w:tcPr>
          <w:p w14:paraId="48B3ACF5" w14:textId="77777777" w:rsidR="00FC2730" w:rsidRPr="00836278" w:rsidRDefault="00FC2730" w:rsidP="00FC2730">
            <w:pPr>
              <w:rPr>
                <w:b/>
                <w:lang w:eastAsia="zh-CN"/>
              </w:rPr>
            </w:pPr>
            <w:r w:rsidRPr="00836278">
              <w:rPr>
                <w:b/>
                <w:highlight w:val="green"/>
                <w:lang w:eastAsia="zh-CN"/>
              </w:rPr>
              <w:t>Agreement RAN1#118b</w:t>
            </w:r>
          </w:p>
          <w:p w14:paraId="2FFF05CD" w14:textId="77777777" w:rsidR="00FC2730" w:rsidRPr="0071575A" w:rsidRDefault="00FC2730" w:rsidP="00FC2730">
            <w:pPr>
              <w:rPr>
                <w:lang w:eastAsia="zh-CN"/>
              </w:rPr>
            </w:pPr>
            <w:r w:rsidRPr="0071575A">
              <w:rPr>
                <w:lang w:eastAsia="zh-CN"/>
              </w:rPr>
              <w:t xml:space="preserve">For CSI processing timeline in SBFD symbols to process the CSI-RS across two DL subbands, </w:t>
            </w:r>
          </w:p>
          <w:p w14:paraId="658E584C" w14:textId="77777777" w:rsidR="00FC2730" w:rsidRPr="0071575A" w:rsidRDefault="00FC2730" w:rsidP="00FC2730">
            <w:pPr>
              <w:numPr>
                <w:ilvl w:val="0"/>
                <w:numId w:val="64"/>
              </w:numPr>
              <w:rPr>
                <w:lang w:eastAsia="zh-CN"/>
              </w:rPr>
            </w:pPr>
            <w:r w:rsidRPr="0071575A">
              <w:rPr>
                <w:lang w:eastAsia="zh-CN"/>
              </w:rPr>
              <w:t>Option 3: It is up to UE capability to indicate one of the following:</w:t>
            </w:r>
          </w:p>
          <w:p w14:paraId="20DE38BF" w14:textId="77777777" w:rsidR="00FC2730" w:rsidRDefault="00FC2730" w:rsidP="00FC2730">
            <w:pPr>
              <w:numPr>
                <w:ilvl w:val="1"/>
                <w:numId w:val="64"/>
              </w:numPr>
              <w:rPr>
                <w:lang w:eastAsia="zh-CN"/>
              </w:rPr>
            </w:pPr>
            <w:r w:rsidRPr="0071575A">
              <w:rPr>
                <w:lang w:eastAsia="zh-CN"/>
              </w:rPr>
              <w:t>CSI processing timeline and CPU counting are the same as legacy.</w:t>
            </w:r>
          </w:p>
          <w:p w14:paraId="2607339C" w14:textId="0833C8C3" w:rsidR="00FC2730" w:rsidRDefault="00FC2730" w:rsidP="00FC2730">
            <w:pPr>
              <w:rPr>
                <w:b/>
                <w:bCs/>
                <w:lang w:val="en-US" w:eastAsia="zh-CN"/>
              </w:rPr>
            </w:pPr>
            <w:r w:rsidRPr="00151126">
              <w:t>Scale the CSI processing timeline Z/Z’ by factor of 2 and keep the same CPU counting</w:t>
            </w:r>
            <w:r w:rsidRPr="00151126">
              <w:rPr>
                <w:lang w:eastAsia="zh-CN"/>
              </w:rPr>
              <w:t xml:space="preserve"> as legacy.</w:t>
            </w:r>
          </w:p>
        </w:tc>
      </w:tr>
    </w:tbl>
    <w:p w14:paraId="0FB658D3" w14:textId="77777777" w:rsidR="00FC2730" w:rsidRDefault="00FC2730" w:rsidP="00D12BF3">
      <w:pPr>
        <w:rPr>
          <w:b/>
          <w:bCs/>
          <w:lang w:val="en-US" w:eastAsia="zh-CN"/>
        </w:rPr>
      </w:pPr>
    </w:p>
    <w:p w14:paraId="7BA34D79" w14:textId="67317EB3" w:rsidR="00C36195" w:rsidRDefault="00EA2C61" w:rsidP="6FFB2B30">
      <w:pPr>
        <w:rPr>
          <w:lang w:val="en-US" w:eastAsia="zh-CN"/>
        </w:rPr>
      </w:pPr>
      <w:r>
        <w:rPr>
          <w:lang w:val="en-US" w:eastAsia="zh-CN"/>
        </w:rPr>
        <w:t>I</w:t>
      </w:r>
      <w:r w:rsidR="004613E7">
        <w:rPr>
          <w:rFonts w:hint="eastAsia"/>
          <w:lang w:val="en-US" w:eastAsia="zh-CN"/>
        </w:rPr>
        <w:t xml:space="preserve">n </w:t>
      </w:r>
      <w:r w:rsidR="007B04A4">
        <w:rPr>
          <w:lang w:val="en-US" w:eastAsia="zh-CN"/>
        </w:rPr>
        <w:t xml:space="preserve">the </w:t>
      </w:r>
      <w:r w:rsidR="00FB3F79">
        <w:rPr>
          <w:lang w:val="en-US" w:eastAsia="zh-CN"/>
        </w:rPr>
        <w:t>past</w:t>
      </w:r>
      <w:r w:rsidR="00FB3F79">
        <w:rPr>
          <w:rFonts w:hint="eastAsia"/>
          <w:lang w:val="en-US" w:eastAsia="zh-CN"/>
        </w:rPr>
        <w:t xml:space="preserve"> </w:t>
      </w:r>
      <w:r w:rsidR="004613E7">
        <w:rPr>
          <w:rFonts w:hint="eastAsia"/>
          <w:lang w:val="en-US" w:eastAsia="zh-CN"/>
        </w:rPr>
        <w:t>RAN4 meeting</w:t>
      </w:r>
      <w:r w:rsidR="00FB3F79">
        <w:rPr>
          <w:lang w:val="en-US" w:eastAsia="zh-CN"/>
        </w:rPr>
        <w:t>s</w:t>
      </w:r>
      <w:r w:rsidR="004613E7">
        <w:rPr>
          <w:rFonts w:hint="eastAsia"/>
          <w:lang w:val="en-US" w:eastAsia="zh-CN"/>
        </w:rPr>
        <w:t xml:space="preserve">, we agreed to </w:t>
      </w:r>
      <w:r w:rsidR="00E208C8">
        <w:rPr>
          <w:lang w:val="en-US" w:eastAsia="zh-CN"/>
        </w:rPr>
        <w:t>define relaxed accuracy requirements</w:t>
      </w:r>
      <w:r w:rsidR="004613E7">
        <w:rPr>
          <w:rFonts w:hint="eastAsia"/>
          <w:lang w:val="en-US" w:eastAsia="zh-CN"/>
        </w:rPr>
        <w:t xml:space="preserve"> based on 24PRB </w:t>
      </w:r>
      <w:r w:rsidR="00E208C8">
        <w:rPr>
          <w:lang w:val="en-US" w:eastAsia="zh-CN"/>
        </w:rPr>
        <w:t>for Case 3</w:t>
      </w:r>
      <w:r w:rsidR="00003848">
        <w:rPr>
          <w:lang w:val="en-US" w:eastAsia="zh-CN"/>
        </w:rPr>
        <w:t xml:space="preserve">. </w:t>
      </w:r>
      <w:r w:rsidR="00F60538">
        <w:rPr>
          <w:lang w:val="en-US" w:eastAsia="zh-CN"/>
        </w:rPr>
        <w:t xml:space="preserve">It is FFS </w:t>
      </w:r>
      <w:r w:rsidR="00F52045">
        <w:rPr>
          <w:lang w:val="en-US" w:eastAsia="zh-CN"/>
        </w:rPr>
        <w:t xml:space="preserve">how to handle the processing time and its application. </w:t>
      </w:r>
      <w:r w:rsidR="003213EB">
        <w:rPr>
          <w:lang w:val="en-US" w:eastAsia="zh-CN"/>
        </w:rPr>
        <w:t xml:space="preserve">In our understanding, </w:t>
      </w:r>
      <w:r w:rsidR="00316FA8">
        <w:rPr>
          <w:lang w:val="en-US" w:eastAsia="zh-CN"/>
        </w:rPr>
        <w:t>the accuracy performance was relaxed</w:t>
      </w:r>
      <w:r w:rsidR="00257A2C">
        <w:rPr>
          <w:lang w:val="en-US" w:eastAsia="zh-CN"/>
        </w:rPr>
        <w:t xml:space="preserve"> because</w:t>
      </w:r>
      <w:r w:rsidR="004613E7">
        <w:rPr>
          <w:rFonts w:hint="eastAsia"/>
          <w:lang w:val="en-US" w:eastAsia="zh-CN"/>
        </w:rPr>
        <w:t xml:space="preserve"> some UE vendors </w:t>
      </w:r>
      <w:r w:rsidR="00CB13BE">
        <w:rPr>
          <w:rFonts w:hint="eastAsia"/>
          <w:lang w:val="en-US" w:eastAsia="zh-CN"/>
        </w:rPr>
        <w:t>were</w:t>
      </w:r>
      <w:r w:rsidR="004613E7">
        <w:rPr>
          <w:rFonts w:hint="eastAsia"/>
          <w:lang w:val="en-US" w:eastAsia="zh-CN"/>
        </w:rPr>
        <w:t xml:space="preserve"> not able to </w:t>
      </w:r>
      <w:r w:rsidR="00CB58A1">
        <w:rPr>
          <w:lang w:val="en-US" w:eastAsia="zh-CN"/>
        </w:rPr>
        <w:t xml:space="preserve">simultaneously </w:t>
      </w:r>
      <w:r w:rsidR="004613E7">
        <w:rPr>
          <w:rFonts w:hint="eastAsia"/>
          <w:lang w:val="en-US" w:eastAsia="zh-CN"/>
        </w:rPr>
        <w:t xml:space="preserve">measure the CSI-RS </w:t>
      </w:r>
      <w:r w:rsidR="00CB13BE">
        <w:rPr>
          <w:rFonts w:hint="eastAsia"/>
          <w:lang w:val="en-US" w:eastAsia="zh-CN"/>
        </w:rPr>
        <w:t xml:space="preserve">resource </w:t>
      </w:r>
      <w:r w:rsidR="003C59E0">
        <w:rPr>
          <w:lang w:val="en-US" w:eastAsia="zh-CN"/>
        </w:rPr>
        <w:t>across</w:t>
      </w:r>
      <w:r w:rsidR="004613E7">
        <w:rPr>
          <w:rFonts w:hint="eastAsia"/>
          <w:lang w:val="en-US" w:eastAsia="zh-CN"/>
        </w:rPr>
        <w:t xml:space="preserve"> 2 DL subbands.</w:t>
      </w:r>
      <w:r w:rsidR="00B80B11">
        <w:rPr>
          <w:lang w:val="en-US" w:eastAsia="zh-CN"/>
        </w:rPr>
        <w:t xml:space="preserve"> </w:t>
      </w:r>
      <w:r w:rsidR="001213D8">
        <w:rPr>
          <w:lang w:val="en-US" w:eastAsia="zh-CN"/>
        </w:rPr>
        <w:t xml:space="preserve">According to </w:t>
      </w:r>
      <w:r w:rsidR="00497C22">
        <w:rPr>
          <w:lang w:val="en-US" w:eastAsia="zh-CN"/>
        </w:rPr>
        <w:t xml:space="preserve">RAN1 discussion </w:t>
      </w:r>
      <w:r w:rsidR="001213D8">
        <w:rPr>
          <w:lang w:val="en-US" w:eastAsia="zh-CN"/>
        </w:rPr>
        <w:t>on</w:t>
      </w:r>
      <w:r w:rsidR="00497C22">
        <w:rPr>
          <w:lang w:val="en-US" w:eastAsia="zh-CN"/>
        </w:rPr>
        <w:t xml:space="preserve"> UE capability,</w:t>
      </w:r>
      <w:r w:rsidR="00D75302">
        <w:rPr>
          <w:lang w:val="en-US" w:eastAsia="zh-CN"/>
        </w:rPr>
        <w:t xml:space="preserve"> we </w:t>
      </w:r>
      <w:r w:rsidR="003574FD">
        <w:rPr>
          <w:lang w:val="en-US" w:eastAsia="zh-CN"/>
        </w:rPr>
        <w:t>believe</w:t>
      </w:r>
      <w:r w:rsidR="00D75302">
        <w:rPr>
          <w:lang w:val="en-US" w:eastAsia="zh-CN"/>
        </w:rPr>
        <w:t xml:space="preserve"> a UE supporting DL reception on two DL subbands shall be able to measure CSI-RS resources on two DL subbands. Hence t</w:t>
      </w:r>
      <w:r w:rsidR="00C36195">
        <w:rPr>
          <w:lang w:val="en-US" w:eastAsia="zh-CN"/>
        </w:rPr>
        <w:t xml:space="preserve">he </w:t>
      </w:r>
      <w:r w:rsidR="002A7B7C">
        <w:rPr>
          <w:lang w:val="en-US" w:eastAsia="zh-CN"/>
        </w:rPr>
        <w:t xml:space="preserve">relaxed accuracy is under the </w:t>
      </w:r>
      <w:r w:rsidR="00B17BAB">
        <w:rPr>
          <w:lang w:val="en-US" w:eastAsia="zh-CN"/>
        </w:rPr>
        <w:t>condition</w:t>
      </w:r>
      <w:r w:rsidR="002A7B7C">
        <w:rPr>
          <w:lang w:val="en-US" w:eastAsia="zh-CN"/>
        </w:rPr>
        <w:t xml:space="preserve"> </w:t>
      </w:r>
      <w:r w:rsidR="00C36195">
        <w:rPr>
          <w:lang w:val="en-US" w:eastAsia="zh-CN"/>
        </w:rPr>
        <w:t xml:space="preserve">that UE </w:t>
      </w:r>
      <w:r w:rsidR="001213D8">
        <w:rPr>
          <w:lang w:val="en-US" w:eastAsia="zh-CN"/>
        </w:rPr>
        <w:t>does not support</w:t>
      </w:r>
      <w:r w:rsidR="00C36195">
        <w:rPr>
          <w:lang w:val="en-US" w:eastAsia="zh-CN"/>
        </w:rPr>
        <w:t xml:space="preserve"> </w:t>
      </w:r>
      <w:r w:rsidR="00C36195" w:rsidRPr="00C4039D">
        <w:rPr>
          <w:lang w:val="en-US" w:eastAsia="zh-CN"/>
        </w:rPr>
        <w:t xml:space="preserve">DL reception in </w:t>
      </w:r>
      <w:r w:rsidR="001213D8">
        <w:rPr>
          <w:lang w:val="en-US" w:eastAsia="zh-CN"/>
        </w:rPr>
        <w:t>two</w:t>
      </w:r>
      <w:r w:rsidR="00C36195" w:rsidRPr="00C4039D">
        <w:rPr>
          <w:lang w:val="en-US" w:eastAsia="zh-CN"/>
        </w:rPr>
        <w:t xml:space="preserve"> DL subband in SBFD symbols</w:t>
      </w:r>
      <w:r w:rsidR="00C063A6">
        <w:rPr>
          <w:lang w:val="en-US" w:eastAsia="zh-CN"/>
        </w:rPr>
        <w:t>, or in other words UE only supports DL reception in one DL subband in SBFD symbol.</w:t>
      </w:r>
      <w:r w:rsidR="00C36195">
        <w:rPr>
          <w:lang w:val="en-US" w:eastAsia="zh-CN"/>
        </w:rPr>
        <w:t xml:space="preserve"> </w:t>
      </w:r>
      <w:r w:rsidR="00D70159">
        <w:rPr>
          <w:lang w:val="en-US" w:eastAsia="zh-CN"/>
        </w:rPr>
        <w:t xml:space="preserve">We should make it clear that the relaxed accuracy requirements based on 24 RB for Case 3 applies only if UE does not support </w:t>
      </w:r>
      <w:r w:rsidR="00AE4F42">
        <w:rPr>
          <w:lang w:val="en-US" w:eastAsia="zh-CN"/>
        </w:rPr>
        <w:t xml:space="preserve">simultaneous </w:t>
      </w:r>
      <w:r w:rsidR="00D70159">
        <w:rPr>
          <w:lang w:val="en-US" w:eastAsia="zh-CN"/>
        </w:rPr>
        <w:t>DL reception in two DL subband</w:t>
      </w:r>
      <w:r w:rsidR="000A056F">
        <w:rPr>
          <w:lang w:val="en-US" w:eastAsia="zh-CN"/>
        </w:rPr>
        <w:t>s</w:t>
      </w:r>
      <w:r w:rsidR="00D70159">
        <w:rPr>
          <w:lang w:val="en-US" w:eastAsia="zh-CN"/>
        </w:rPr>
        <w:t xml:space="preserve"> in SBFD symbols. </w:t>
      </w:r>
    </w:p>
    <w:p w14:paraId="7A1EEE8A" w14:textId="69A46AF6" w:rsidR="00B80865" w:rsidRDefault="00B80865" w:rsidP="00B80865">
      <w:pPr>
        <w:pStyle w:val="RAN4observation0"/>
        <w:ind w:left="0" w:firstLine="0"/>
        <w:rPr>
          <w:lang w:val="en-US" w:eastAsia="zh-CN"/>
        </w:rPr>
      </w:pPr>
      <w:bookmarkStart w:id="5" w:name="_Toc206141184"/>
      <w:r>
        <w:rPr>
          <w:rFonts w:hint="eastAsia"/>
          <w:lang w:val="en-US" w:eastAsia="zh-CN"/>
        </w:rPr>
        <w:t xml:space="preserve">For Case 3, </w:t>
      </w:r>
      <w:r w:rsidR="00D61796">
        <w:rPr>
          <w:lang w:val="en-US" w:eastAsia="zh-CN"/>
        </w:rPr>
        <w:t>the relaxed</w:t>
      </w:r>
      <w:r w:rsidR="00F20053">
        <w:rPr>
          <w:lang w:val="en-US" w:eastAsia="zh-CN"/>
        </w:rPr>
        <w:t xml:space="preserve"> accuracy </w:t>
      </w:r>
      <w:r w:rsidR="004F06BE">
        <w:rPr>
          <w:lang w:val="en-US" w:eastAsia="zh-CN"/>
        </w:rPr>
        <w:t xml:space="preserve">based on 24 PRB </w:t>
      </w:r>
      <w:r w:rsidR="00F20053">
        <w:rPr>
          <w:lang w:val="en-US" w:eastAsia="zh-CN"/>
        </w:rPr>
        <w:t>was adopted</w:t>
      </w:r>
      <w:r w:rsidR="00C616A8">
        <w:rPr>
          <w:lang w:val="en-US" w:eastAsia="zh-CN"/>
        </w:rPr>
        <w:t xml:space="preserve"> because</w:t>
      </w:r>
      <w:r w:rsidR="00C616A8">
        <w:rPr>
          <w:rFonts w:hint="eastAsia"/>
          <w:lang w:val="en-US" w:eastAsia="zh-CN"/>
        </w:rPr>
        <w:t xml:space="preserve"> some UE</w:t>
      </w:r>
      <w:r w:rsidR="00C616A8">
        <w:rPr>
          <w:lang w:val="en-US" w:eastAsia="zh-CN"/>
        </w:rPr>
        <w:t>s</w:t>
      </w:r>
      <w:r w:rsidR="00C616A8">
        <w:rPr>
          <w:rFonts w:hint="eastAsia"/>
          <w:lang w:val="en-US" w:eastAsia="zh-CN"/>
        </w:rPr>
        <w:t xml:space="preserve"> were not able to measure </w:t>
      </w:r>
      <w:r w:rsidR="00C616A8">
        <w:rPr>
          <w:lang w:val="en-US" w:eastAsia="zh-CN"/>
        </w:rPr>
        <w:t xml:space="preserve">and decode </w:t>
      </w:r>
      <w:r w:rsidR="00C616A8">
        <w:rPr>
          <w:rFonts w:hint="eastAsia"/>
          <w:lang w:val="en-US" w:eastAsia="zh-CN"/>
        </w:rPr>
        <w:t>the CSI-RS resource in 2 DL subbands</w:t>
      </w:r>
      <w:r>
        <w:rPr>
          <w:rFonts w:hint="eastAsia"/>
          <w:lang w:val="en-US" w:eastAsia="zh-CN"/>
        </w:rPr>
        <w:t>.</w:t>
      </w:r>
      <w:bookmarkEnd w:id="5"/>
      <w:r>
        <w:rPr>
          <w:rFonts w:hint="eastAsia"/>
          <w:lang w:val="en-US" w:eastAsia="zh-CN"/>
        </w:rPr>
        <w:t xml:space="preserve"> </w:t>
      </w:r>
    </w:p>
    <w:p w14:paraId="5F25FD9E" w14:textId="1031BA45" w:rsidR="00B9537F" w:rsidRPr="00B9537F" w:rsidRDefault="00B9537F" w:rsidP="00B9537F">
      <w:pPr>
        <w:pStyle w:val="RAN4observation0"/>
        <w:ind w:left="0" w:firstLine="0"/>
        <w:rPr>
          <w:lang w:val="en-US" w:eastAsia="zh-CN"/>
        </w:rPr>
      </w:pPr>
      <w:bookmarkStart w:id="6" w:name="_Toc206141185"/>
      <w:r>
        <w:rPr>
          <w:lang w:val="en-US" w:eastAsia="zh-CN"/>
        </w:rPr>
        <w:t>According to RAN1 discussion on UE capability, a UE supporting DL reception on two DL subbands shall be able to measure CSI-RS resources on two DL subbands.</w:t>
      </w:r>
      <w:bookmarkEnd w:id="6"/>
    </w:p>
    <w:p w14:paraId="4B38BA7C" w14:textId="2D3ACF66" w:rsidR="000A056F" w:rsidRPr="00B80865" w:rsidRDefault="00065F10" w:rsidP="00C4039D">
      <w:pPr>
        <w:pStyle w:val="RAN4proposal"/>
        <w:ind w:left="0" w:firstLine="0"/>
        <w:rPr>
          <w:lang w:val="en-US" w:eastAsia="zh-CN"/>
        </w:rPr>
      </w:pPr>
      <w:bookmarkStart w:id="7" w:name="_Toc206141186"/>
      <w:r>
        <w:rPr>
          <w:lang w:val="en-US" w:eastAsia="zh-CN"/>
        </w:rPr>
        <w:t>The relaxed accuracy requirements based on 24 RB for Case 3 applies only if UE does not support DL reception in two DL subbands in SBFD symbols.</w:t>
      </w:r>
      <w:bookmarkEnd w:id="7"/>
    </w:p>
    <w:p w14:paraId="3E7C77E1" w14:textId="20C11EEA" w:rsidR="004613E7" w:rsidRDefault="00F90434" w:rsidP="6FFB2B30">
      <w:pPr>
        <w:rPr>
          <w:lang w:val="en-US" w:eastAsia="zh-CN"/>
        </w:rPr>
      </w:pPr>
      <w:r>
        <w:rPr>
          <w:lang w:val="en-US" w:eastAsia="zh-CN"/>
        </w:rPr>
        <w:t>Accordingly, if</w:t>
      </w:r>
      <w:r w:rsidR="002A767F">
        <w:rPr>
          <w:rFonts w:hint="eastAsia"/>
          <w:lang w:val="en-US" w:eastAsia="zh-CN"/>
        </w:rPr>
        <w:t xml:space="preserve"> UE </w:t>
      </w:r>
      <w:r w:rsidR="00A274BD">
        <w:rPr>
          <w:rFonts w:hint="eastAsia"/>
          <w:lang w:val="en-US" w:eastAsia="zh-CN"/>
        </w:rPr>
        <w:t>only</w:t>
      </w:r>
      <w:r w:rsidR="002A767F">
        <w:rPr>
          <w:rFonts w:hint="eastAsia"/>
          <w:lang w:val="en-US" w:eastAsia="zh-CN"/>
        </w:rPr>
        <w:t xml:space="preserve"> measure</w:t>
      </w:r>
      <w:r w:rsidR="00A274BD">
        <w:rPr>
          <w:rFonts w:hint="eastAsia"/>
          <w:lang w:val="en-US" w:eastAsia="zh-CN"/>
        </w:rPr>
        <w:t>s</w:t>
      </w:r>
      <w:r w:rsidR="002A767F">
        <w:rPr>
          <w:rFonts w:hint="eastAsia"/>
          <w:lang w:val="en-US" w:eastAsia="zh-CN"/>
        </w:rPr>
        <w:t xml:space="preserve"> the CSI-RS </w:t>
      </w:r>
      <w:r w:rsidR="00771BA5">
        <w:rPr>
          <w:lang w:val="en-US" w:eastAsia="zh-CN"/>
        </w:rPr>
        <w:t xml:space="preserve">resource </w:t>
      </w:r>
      <w:r w:rsidR="002A767F">
        <w:rPr>
          <w:rFonts w:hint="eastAsia"/>
          <w:lang w:val="en-US" w:eastAsia="zh-CN"/>
        </w:rPr>
        <w:t>in single DL subband</w:t>
      </w:r>
      <w:r w:rsidR="00A274BD">
        <w:rPr>
          <w:rFonts w:hint="eastAsia"/>
          <w:lang w:val="en-US" w:eastAsia="zh-CN"/>
        </w:rPr>
        <w:t xml:space="preserve">, the </w:t>
      </w:r>
      <w:r w:rsidR="00FF4A80">
        <w:rPr>
          <w:lang w:val="en-US" w:eastAsia="zh-CN"/>
        </w:rPr>
        <w:t xml:space="preserve">UE does not </w:t>
      </w:r>
      <w:r w:rsidR="00093939">
        <w:rPr>
          <w:lang w:val="en-US" w:eastAsia="zh-CN"/>
        </w:rPr>
        <w:t xml:space="preserve">need </w:t>
      </w:r>
      <w:r w:rsidR="00FF4A80">
        <w:rPr>
          <w:lang w:val="en-US" w:eastAsia="zh-CN"/>
        </w:rPr>
        <w:t xml:space="preserve">additional </w:t>
      </w:r>
      <w:r w:rsidR="00A274BD">
        <w:rPr>
          <w:rFonts w:hint="eastAsia"/>
          <w:lang w:val="en-US" w:eastAsia="zh-CN"/>
        </w:rPr>
        <w:t>CSI processing time for measuring 2 DL subbands</w:t>
      </w:r>
      <w:r w:rsidR="00093939">
        <w:rPr>
          <w:lang w:val="en-US" w:eastAsia="zh-CN"/>
        </w:rPr>
        <w:t xml:space="preserve"> hence the </w:t>
      </w:r>
      <w:r w:rsidR="00800C49">
        <w:rPr>
          <w:lang w:val="en-US" w:eastAsia="zh-CN"/>
        </w:rPr>
        <w:t>lower bound due to CSI processing time is not needed</w:t>
      </w:r>
      <w:r w:rsidR="00A274BD">
        <w:rPr>
          <w:rFonts w:hint="eastAsia"/>
          <w:lang w:val="en-US" w:eastAsia="zh-CN"/>
        </w:rPr>
        <w:t xml:space="preserve">. </w:t>
      </w:r>
      <w:r w:rsidR="00DC60DE">
        <w:rPr>
          <w:rFonts w:hint="eastAsia"/>
          <w:lang w:val="en-US" w:eastAsia="zh-CN"/>
        </w:rPr>
        <w:t xml:space="preserve">Therefore, </w:t>
      </w:r>
      <w:r w:rsidR="00F55639">
        <w:rPr>
          <w:lang w:eastAsia="zh-CN"/>
        </w:rPr>
        <w:t xml:space="preserve">if UE does not support DL reception in two DL subbands in SBFD symbols, </w:t>
      </w:r>
      <w:r w:rsidR="00DC60DE">
        <w:rPr>
          <w:rFonts w:hint="eastAsia"/>
          <w:lang w:eastAsia="zh-CN"/>
        </w:rPr>
        <w:t xml:space="preserve">the existing measurement delay shall apply i.e. lower bound is not needed. </w:t>
      </w:r>
    </w:p>
    <w:p w14:paraId="44ABB0B0" w14:textId="7936DBB2" w:rsidR="00DD0393" w:rsidRDefault="00DD0393" w:rsidP="00D809A1">
      <w:pPr>
        <w:pStyle w:val="RAN4proposal"/>
        <w:ind w:left="0" w:firstLine="0"/>
        <w:rPr>
          <w:lang w:val="en-US" w:eastAsia="zh-CN"/>
        </w:rPr>
      </w:pPr>
      <w:bookmarkStart w:id="8" w:name="_Toc197681199"/>
      <w:bookmarkStart w:id="9" w:name="_Toc206141187"/>
      <w:r>
        <w:rPr>
          <w:rFonts w:hint="eastAsia"/>
          <w:lang w:val="en-US" w:eastAsia="zh-CN"/>
        </w:rPr>
        <w:t xml:space="preserve">For Case 3, </w:t>
      </w:r>
      <w:r w:rsidR="00242B38">
        <w:rPr>
          <w:lang w:eastAsia="zh-CN"/>
        </w:rPr>
        <w:t xml:space="preserve">if UE does not support DL reception in two DL subbands in SBFD symbols, </w:t>
      </w:r>
      <w:r w:rsidR="00242B38">
        <w:rPr>
          <w:rFonts w:hint="eastAsia"/>
          <w:lang w:eastAsia="zh-CN"/>
        </w:rPr>
        <w:t>the existing measurement delay shall apply i.e. lower bound</w:t>
      </w:r>
      <w:r w:rsidR="005701F3">
        <w:rPr>
          <w:lang w:eastAsia="zh-CN"/>
        </w:rPr>
        <w:t xml:space="preserve"> </w:t>
      </w:r>
      <w:r w:rsidR="00242B38">
        <w:rPr>
          <w:rFonts w:hint="eastAsia"/>
          <w:lang w:eastAsia="zh-CN"/>
        </w:rPr>
        <w:t>is not needed.</w:t>
      </w:r>
      <w:bookmarkEnd w:id="8"/>
      <w:bookmarkEnd w:id="9"/>
    </w:p>
    <w:p w14:paraId="56CE161B" w14:textId="2537517C" w:rsidR="0048030E" w:rsidRDefault="00A8515A" w:rsidP="6FFB2B30">
      <w:pPr>
        <w:rPr>
          <w:lang w:val="en-US" w:eastAsia="zh-CN"/>
        </w:rPr>
      </w:pPr>
      <w:r>
        <w:rPr>
          <w:lang w:val="en-US" w:eastAsia="zh-CN"/>
        </w:rPr>
        <w:t>On the other hand</w:t>
      </w:r>
      <w:r w:rsidR="0048030E">
        <w:rPr>
          <w:rFonts w:hint="eastAsia"/>
          <w:lang w:val="en-US" w:eastAsia="zh-CN"/>
        </w:rPr>
        <w:t>, some UEs may be able to support simultaneous DL reception in 2 DL subbands</w:t>
      </w:r>
      <w:r w:rsidR="003F064C">
        <w:rPr>
          <w:rFonts w:hint="eastAsia"/>
          <w:lang w:val="en-US" w:eastAsia="zh-CN"/>
        </w:rPr>
        <w:t xml:space="preserve">. We understood this comprises </w:t>
      </w:r>
      <w:r w:rsidR="003F064C">
        <w:rPr>
          <w:lang w:val="en-US" w:eastAsia="zh-CN"/>
        </w:rPr>
        <w:t>simultaneous</w:t>
      </w:r>
      <w:r w:rsidR="003F064C">
        <w:rPr>
          <w:rFonts w:hint="eastAsia"/>
          <w:lang w:val="en-US" w:eastAsia="zh-CN"/>
        </w:rPr>
        <w:t xml:space="preserve"> reception of both data and </w:t>
      </w:r>
      <w:r w:rsidR="007B04A4">
        <w:rPr>
          <w:lang w:val="en-US" w:eastAsia="zh-CN"/>
        </w:rPr>
        <w:t>signals</w:t>
      </w:r>
      <w:r w:rsidR="007B04A4">
        <w:rPr>
          <w:rFonts w:hint="eastAsia"/>
          <w:lang w:val="en-US" w:eastAsia="zh-CN"/>
        </w:rPr>
        <w:t xml:space="preserve"> </w:t>
      </w:r>
      <w:r w:rsidR="003F064C">
        <w:rPr>
          <w:rFonts w:hint="eastAsia"/>
          <w:lang w:val="en-US" w:eastAsia="zh-CN"/>
        </w:rPr>
        <w:t xml:space="preserve">i.e. simultaneous measurement shall also be supported. In this case, we can consider the CSI processing time </w:t>
      </w:r>
      <w:r w:rsidR="0058472C">
        <w:rPr>
          <w:rFonts w:hint="eastAsia"/>
          <w:lang w:val="en-US" w:eastAsia="zh-CN"/>
        </w:rPr>
        <w:t>which may be scaled by 2</w:t>
      </w:r>
      <w:r w:rsidR="00F50557">
        <w:rPr>
          <w:lang w:val="en-US" w:eastAsia="zh-CN"/>
        </w:rPr>
        <w:t xml:space="preserve"> up to UE capability indication.</w:t>
      </w:r>
      <w:r w:rsidR="0058472C">
        <w:rPr>
          <w:rFonts w:hint="eastAsia"/>
          <w:lang w:val="en-US" w:eastAsia="zh-CN"/>
        </w:rPr>
        <w:t xml:space="preserve"> </w:t>
      </w:r>
      <w:r w:rsidR="004C1FCD">
        <w:rPr>
          <w:lang w:val="en-US" w:eastAsia="zh-CN"/>
        </w:rPr>
        <w:t xml:space="preserve">And </w:t>
      </w:r>
      <w:r w:rsidR="0058472C">
        <w:rPr>
          <w:rFonts w:hint="eastAsia"/>
          <w:lang w:val="en-US" w:eastAsia="zh-CN"/>
        </w:rPr>
        <w:t xml:space="preserve">a lower bound may be introduced to the existing </w:t>
      </w:r>
      <w:r w:rsidR="0058472C">
        <w:rPr>
          <w:lang w:val="en-US" w:eastAsia="zh-CN"/>
        </w:rPr>
        <w:t>measurement</w:t>
      </w:r>
      <w:r w:rsidR="0058472C">
        <w:rPr>
          <w:rFonts w:hint="eastAsia"/>
          <w:lang w:val="en-US" w:eastAsia="zh-CN"/>
        </w:rPr>
        <w:t xml:space="preserve"> delay but the accuracy performance shall not be relaxed as the UE is measuring 2 DL subbands and the sum of the usable PRBs exceeds X3</w:t>
      </w:r>
      <w:r w:rsidR="004C1FCD">
        <w:rPr>
          <w:lang w:val="en-US" w:eastAsia="zh-CN"/>
        </w:rPr>
        <w:t xml:space="preserve"> in Case 3</w:t>
      </w:r>
      <w:r w:rsidR="0058472C">
        <w:rPr>
          <w:rFonts w:hint="eastAsia"/>
          <w:lang w:val="en-US" w:eastAsia="zh-CN"/>
        </w:rPr>
        <w:t>. Hence we propose for Case 3, if UE supports simultaneous DL reception in 2 DL subbands, a lower bound</w:t>
      </w:r>
      <w:r w:rsidR="00DB0AC3">
        <w:rPr>
          <w:lang w:val="en-US" w:eastAsia="zh-CN"/>
        </w:rPr>
        <w:t xml:space="preserve"> (if UE indicates the capability)</w:t>
      </w:r>
      <w:r w:rsidR="0058472C">
        <w:rPr>
          <w:rFonts w:hint="eastAsia"/>
          <w:lang w:val="en-US" w:eastAsia="zh-CN"/>
        </w:rPr>
        <w:t xml:space="preserve"> can be introduced to the existing </w:t>
      </w:r>
      <w:r w:rsidR="0058472C">
        <w:rPr>
          <w:lang w:val="en-US" w:eastAsia="zh-CN"/>
        </w:rPr>
        <w:t>measurement</w:t>
      </w:r>
      <w:r w:rsidR="0058472C">
        <w:rPr>
          <w:rFonts w:hint="eastAsia"/>
          <w:lang w:val="en-US" w:eastAsia="zh-CN"/>
        </w:rPr>
        <w:t xml:space="preserve"> delay but the accuracy performance shall be based on 48</w:t>
      </w:r>
      <w:r w:rsidR="00A60461">
        <w:rPr>
          <w:rFonts w:hint="eastAsia"/>
          <w:lang w:val="en-US" w:eastAsia="zh-CN"/>
        </w:rPr>
        <w:t xml:space="preserve"> </w:t>
      </w:r>
      <w:r w:rsidR="0058472C">
        <w:rPr>
          <w:rFonts w:hint="eastAsia"/>
          <w:lang w:val="en-US" w:eastAsia="zh-CN"/>
        </w:rPr>
        <w:t>PRB</w:t>
      </w:r>
      <w:r w:rsidR="00A60461">
        <w:rPr>
          <w:rFonts w:hint="eastAsia"/>
          <w:lang w:val="en-US" w:eastAsia="zh-CN"/>
        </w:rPr>
        <w:t>s</w:t>
      </w:r>
      <w:r w:rsidR="0058472C">
        <w:rPr>
          <w:rFonts w:hint="eastAsia"/>
          <w:lang w:val="en-US" w:eastAsia="zh-CN"/>
        </w:rPr>
        <w:t>.</w:t>
      </w:r>
    </w:p>
    <w:p w14:paraId="72EE3253" w14:textId="5268BC81" w:rsidR="00EE5A12" w:rsidRPr="002D628F" w:rsidRDefault="00A60461" w:rsidP="002D628F">
      <w:pPr>
        <w:pStyle w:val="RAN4proposal"/>
        <w:ind w:left="0" w:firstLine="0"/>
        <w:rPr>
          <w:bCs/>
          <w:sz w:val="22"/>
          <w:szCs w:val="24"/>
          <w:u w:val="single"/>
          <w:lang w:val="en-US" w:eastAsia="zh-CN"/>
        </w:rPr>
      </w:pPr>
      <w:bookmarkStart w:id="10" w:name="_Toc197681200"/>
      <w:bookmarkStart w:id="11" w:name="_Toc206141188"/>
      <w:r w:rsidRPr="002D628F">
        <w:rPr>
          <w:rFonts w:hint="eastAsia"/>
          <w:lang w:val="en-US" w:eastAsia="zh-CN"/>
        </w:rPr>
        <w:t xml:space="preserve">For Case 3, if UE supports DL reception in 2 DL subbands, a lower bound </w:t>
      </w:r>
      <w:r w:rsidR="00DB0AC3" w:rsidRPr="002D628F">
        <w:rPr>
          <w:lang w:val="en-US" w:eastAsia="zh-CN"/>
        </w:rPr>
        <w:t xml:space="preserve">(if UE indicates the capability) </w:t>
      </w:r>
      <w:r w:rsidRPr="002D628F">
        <w:rPr>
          <w:rFonts w:hint="eastAsia"/>
          <w:lang w:val="en-US" w:eastAsia="zh-CN"/>
        </w:rPr>
        <w:t xml:space="preserve">can be introduced to the existing </w:t>
      </w:r>
      <w:r w:rsidRPr="002D628F">
        <w:rPr>
          <w:lang w:val="en-US" w:eastAsia="zh-CN"/>
        </w:rPr>
        <w:t>measurement</w:t>
      </w:r>
      <w:r w:rsidRPr="002D628F">
        <w:rPr>
          <w:rFonts w:hint="eastAsia"/>
          <w:lang w:val="en-US" w:eastAsia="zh-CN"/>
        </w:rPr>
        <w:t xml:space="preserve"> delay but the accuracy performance shall be based on 48 PRBs.</w:t>
      </w:r>
      <w:bookmarkEnd w:id="10"/>
      <w:bookmarkEnd w:id="11"/>
    </w:p>
    <w:p w14:paraId="1CDF59B8" w14:textId="5FA8E1B3" w:rsidR="00C66C74" w:rsidRDefault="00C66C74" w:rsidP="00C66C74">
      <w:pPr>
        <w:pStyle w:val="RAN4H3"/>
        <w:rPr>
          <w:lang w:val="en-US"/>
        </w:rPr>
      </w:pPr>
      <w:r w:rsidRPr="00EE5A12">
        <w:rPr>
          <w:lang w:val="en-US"/>
        </w:rPr>
        <w:t xml:space="preserve">CSI-RS </w:t>
      </w:r>
      <w:r>
        <w:rPr>
          <w:lang w:val="en-US"/>
        </w:rPr>
        <w:t>distributed over SBFD and non-SBFD symbols</w:t>
      </w:r>
    </w:p>
    <w:p w14:paraId="444D18A8" w14:textId="2DF198D5" w:rsidR="008213EF" w:rsidRPr="00585E5D" w:rsidRDefault="00E0395B" w:rsidP="000D7F4F">
      <w:pPr>
        <w:jc w:val="both"/>
        <w:rPr>
          <w:lang w:val="en-US"/>
        </w:rPr>
      </w:pPr>
      <w:r w:rsidRPr="00585E5D">
        <w:rPr>
          <w:lang w:val="en-US"/>
        </w:rPr>
        <w:t xml:space="preserve">The RAN4 measurement requirements for CSI-RS </w:t>
      </w:r>
      <w:r w:rsidR="00F34CE2" w:rsidRPr="00585E5D">
        <w:rPr>
          <w:lang w:val="en-US"/>
        </w:rPr>
        <w:t xml:space="preserve">L1-RSRP </w:t>
      </w:r>
      <w:r w:rsidRPr="00585E5D">
        <w:rPr>
          <w:lang w:val="en-US"/>
        </w:rPr>
        <w:t>and</w:t>
      </w:r>
      <w:r w:rsidR="00F34CE2" w:rsidRPr="00585E5D">
        <w:rPr>
          <w:lang w:val="en-US"/>
        </w:rPr>
        <w:t xml:space="preserve"> L1-SINR, </w:t>
      </w:r>
      <w:r w:rsidRPr="00585E5D">
        <w:rPr>
          <w:lang w:val="en-US"/>
        </w:rPr>
        <w:t>and</w:t>
      </w:r>
      <w:r w:rsidR="00F34CE2" w:rsidRPr="00585E5D">
        <w:rPr>
          <w:lang w:val="en-US"/>
        </w:rPr>
        <w:t xml:space="preserve"> for </w:t>
      </w:r>
      <w:r w:rsidRPr="00585E5D">
        <w:rPr>
          <w:lang w:val="en-US"/>
        </w:rPr>
        <w:t xml:space="preserve">CSI-RS based </w:t>
      </w:r>
      <w:r w:rsidR="00F34CE2" w:rsidRPr="00585E5D">
        <w:rPr>
          <w:lang w:val="en-US"/>
        </w:rPr>
        <w:t xml:space="preserve">RLM/BFD/CBD are </w:t>
      </w:r>
      <w:r w:rsidRPr="00585E5D">
        <w:rPr>
          <w:lang w:val="en-US"/>
        </w:rPr>
        <w:t xml:space="preserve">based </w:t>
      </w:r>
      <w:r w:rsidR="000D49EC" w:rsidRPr="00585E5D">
        <w:rPr>
          <w:lang w:val="en-US"/>
        </w:rPr>
        <w:t>on the periodicity of the CSI-RS resources</w:t>
      </w:r>
      <w:r w:rsidR="00A2172A" w:rsidRPr="00585E5D">
        <w:rPr>
          <w:lang w:val="en-US"/>
        </w:rPr>
        <w:t xml:space="preserve">. </w:t>
      </w:r>
      <w:r w:rsidR="00C66C74">
        <w:rPr>
          <w:lang w:val="en-US"/>
        </w:rPr>
        <w:t>In the RAN1 LS response, RAN1 replied that</w:t>
      </w:r>
      <w:r w:rsidR="00654D89">
        <w:rPr>
          <w:lang w:val="en-US"/>
        </w:rPr>
        <w:t xml:space="preserve"> the agreement below is applicable to </w:t>
      </w:r>
      <w:r w:rsidR="00296B9E">
        <w:rPr>
          <w:lang w:val="en-US"/>
        </w:rPr>
        <w:t>CSI-RS based L1-RSRP/SINR</w:t>
      </w:r>
      <w:r w:rsidR="0066454C">
        <w:rPr>
          <w:lang w:val="en-US"/>
        </w:rPr>
        <w:t>:</w:t>
      </w:r>
      <w:r w:rsidR="00C66C74">
        <w:rPr>
          <w:lang w:val="en-US"/>
        </w:rPr>
        <w:t xml:space="preserve"> </w:t>
      </w:r>
    </w:p>
    <w:tbl>
      <w:tblPr>
        <w:tblStyle w:val="TableGrid"/>
        <w:tblW w:w="0" w:type="auto"/>
        <w:tblLook w:val="04A0" w:firstRow="1" w:lastRow="0" w:firstColumn="1" w:lastColumn="0" w:noHBand="0" w:noVBand="1"/>
      </w:tblPr>
      <w:tblGrid>
        <w:gridCol w:w="9617"/>
      </w:tblGrid>
      <w:tr w:rsidR="008213EF" w:rsidRPr="00FF4CC1" w14:paraId="52759E7F" w14:textId="77777777" w:rsidTr="008213EF">
        <w:tc>
          <w:tcPr>
            <w:tcW w:w="9617" w:type="dxa"/>
          </w:tcPr>
          <w:p w14:paraId="308F858C" w14:textId="77777777" w:rsidR="008213EF" w:rsidRPr="00FF4CC1" w:rsidRDefault="008213EF" w:rsidP="008213EF">
            <w:pPr>
              <w:jc w:val="both"/>
              <w:rPr>
                <w:lang w:val="en-US"/>
              </w:rPr>
            </w:pPr>
            <w:r w:rsidRPr="00FF4CC1">
              <w:rPr>
                <w:b/>
                <w:bCs/>
                <w:lang w:val="en-US"/>
              </w:rPr>
              <w:t>Agreement (RAN1#118bis)</w:t>
            </w:r>
          </w:p>
          <w:p w14:paraId="3628B35C" w14:textId="5F20CB46" w:rsidR="004D2DE1" w:rsidRPr="00FF4CC1" w:rsidRDefault="008213EF" w:rsidP="004D2DE1">
            <w:pPr>
              <w:jc w:val="both"/>
              <w:rPr>
                <w:lang w:val="en-US" w:eastAsia="zh-CN"/>
              </w:rPr>
            </w:pPr>
            <w:r w:rsidRPr="00FF4CC1">
              <w:rPr>
                <w:lang w:val="en-US"/>
              </w:rPr>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tc>
      </w:tr>
    </w:tbl>
    <w:p w14:paraId="474FB836" w14:textId="77777777" w:rsidR="008213EF" w:rsidRDefault="008213EF" w:rsidP="000D7F4F">
      <w:pPr>
        <w:jc w:val="both"/>
        <w:rPr>
          <w:lang w:val="en-US" w:eastAsia="zh-CN"/>
        </w:rPr>
      </w:pPr>
    </w:p>
    <w:p w14:paraId="5C7489D6" w14:textId="044CFC17" w:rsidR="00567571" w:rsidRDefault="00567571" w:rsidP="000D7F4F">
      <w:pPr>
        <w:jc w:val="both"/>
        <w:rPr>
          <w:lang w:val="en-US" w:eastAsia="zh-CN"/>
        </w:rPr>
      </w:pPr>
      <w:r>
        <w:rPr>
          <w:lang w:val="en-US" w:eastAsia="zh-CN"/>
        </w:rPr>
        <w:t xml:space="preserve">In RAN4 #114b, it has been agreed: </w:t>
      </w:r>
    </w:p>
    <w:tbl>
      <w:tblPr>
        <w:tblStyle w:val="TableGrid"/>
        <w:tblW w:w="0" w:type="auto"/>
        <w:tblLook w:val="04A0" w:firstRow="1" w:lastRow="0" w:firstColumn="1" w:lastColumn="0" w:noHBand="0" w:noVBand="1"/>
      </w:tblPr>
      <w:tblGrid>
        <w:gridCol w:w="9617"/>
      </w:tblGrid>
      <w:tr w:rsidR="00567571" w14:paraId="7FA7A309" w14:textId="77777777" w:rsidTr="6717741D">
        <w:tc>
          <w:tcPr>
            <w:tcW w:w="9617" w:type="dxa"/>
          </w:tcPr>
          <w:p w14:paraId="4975E5B8" w14:textId="77777777" w:rsidR="00567571" w:rsidRPr="00D37182" w:rsidRDefault="00567571" w:rsidP="6717741D">
            <w:pPr>
              <w:keepNext/>
              <w:keepLines/>
              <w:spacing w:before="120" w:after="180"/>
              <w:ind w:left="864" w:hanging="864"/>
              <w:outlineLvl w:val="3"/>
              <w:rPr>
                <w:rFonts w:ascii="Arial" w:eastAsia="SimSun" w:hAnsi="Arial" w:cs="Times New Roman"/>
                <w:sz w:val="24"/>
                <w:szCs w:val="24"/>
                <w:lang w:val="sv-SE" w:eastAsia="zh-CN"/>
              </w:rPr>
            </w:pPr>
            <w:r w:rsidRPr="6717741D">
              <w:rPr>
                <w:rFonts w:ascii="Arial" w:eastAsia="SimSun" w:hAnsi="Arial" w:cs="Times New Roman"/>
                <w:sz w:val="24"/>
                <w:szCs w:val="24"/>
                <w:lang w:val="sv-SE" w:eastAsia="zh-CN"/>
              </w:rPr>
              <w:t xml:space="preserve">Issue 2-1-1a: CSI-RS L1 measurement – collision with UL </w:t>
            </w:r>
          </w:p>
          <w:p w14:paraId="4AFA96CA" w14:textId="77777777" w:rsidR="00567571" w:rsidRPr="00D37182" w:rsidRDefault="00567571" w:rsidP="6717741D">
            <w:pPr>
              <w:numPr>
                <w:ilvl w:val="0"/>
                <w:numId w:val="58"/>
              </w:numPr>
              <w:spacing w:after="120"/>
              <w:ind w:left="720"/>
              <w:rPr>
                <w:rFonts w:eastAsia="SimSun" w:cs="Times New Roman"/>
                <w:color w:val="0070C0"/>
                <w:lang w:eastAsia="zh-CN"/>
              </w:rPr>
            </w:pPr>
            <w:r w:rsidRPr="6717741D">
              <w:rPr>
                <w:rFonts w:eastAsia="SimSun" w:cs="Times New Roman"/>
                <w:color w:val="0070C0"/>
                <w:lang w:eastAsia="zh-CN"/>
              </w:rPr>
              <w:t>Agreements (adhoc session on Thursday)</w:t>
            </w:r>
          </w:p>
          <w:p w14:paraId="1021AF16" w14:textId="77777777" w:rsidR="0052178E" w:rsidRPr="0052178E" w:rsidRDefault="00567571" w:rsidP="6717741D">
            <w:pPr>
              <w:numPr>
                <w:ilvl w:val="1"/>
                <w:numId w:val="58"/>
              </w:numPr>
              <w:spacing w:after="120"/>
              <w:rPr>
                <w:rFonts w:eastAsia="SimSun" w:cs="Times New Roman"/>
                <w:lang w:eastAsia="zh-CN"/>
              </w:rPr>
            </w:pPr>
            <w:r w:rsidRPr="6717741D">
              <w:rPr>
                <w:rFonts w:eastAsia="SimSun" w:cs="Times New Roman"/>
                <w:lang w:eastAsia="zh-CN"/>
              </w:rPr>
              <w:t>Dynamically scheduled UL transmission is prioritized over periodic/semi-persistent CSI-RS resource for L1-RSRP/SINR and RLM/BFD/CBD measurement.</w:t>
            </w:r>
          </w:p>
          <w:p w14:paraId="27D3B3DB" w14:textId="2BE520A2" w:rsidR="00567571" w:rsidRPr="0052178E" w:rsidRDefault="00567571" w:rsidP="6717741D">
            <w:pPr>
              <w:numPr>
                <w:ilvl w:val="1"/>
                <w:numId w:val="58"/>
              </w:numPr>
              <w:spacing w:after="120"/>
              <w:rPr>
                <w:rFonts w:eastAsia="SimSun" w:cs="Times New Roman"/>
                <w:lang w:eastAsia="zh-CN"/>
              </w:rPr>
            </w:pPr>
            <w:r w:rsidRPr="6717741D">
              <w:rPr>
                <w:rFonts w:eastAsia="SimSun" w:cs="Times New Roman"/>
                <w:lang w:eastAsia="zh-CN"/>
              </w:rPr>
              <w:t xml:space="preserve">Measurement period for periodic/semi-persistent CSI-RS based L1-RSRP/SINR and RLM/BFD/CBD is extended for collision with dynamically scheduled UL transmission following the R16 NR-U approach. </w:t>
            </w:r>
          </w:p>
        </w:tc>
      </w:tr>
    </w:tbl>
    <w:p w14:paraId="781BCF50" w14:textId="77777777" w:rsidR="00567571" w:rsidRDefault="00567571" w:rsidP="000D7F4F">
      <w:pPr>
        <w:jc w:val="both"/>
        <w:rPr>
          <w:lang w:val="en-US" w:eastAsia="zh-CN"/>
        </w:rPr>
      </w:pPr>
    </w:p>
    <w:p w14:paraId="47EED1E4" w14:textId="71FD284F" w:rsidR="00EB1D90" w:rsidRDefault="00EB1D90" w:rsidP="000D7F4F">
      <w:pPr>
        <w:jc w:val="both"/>
        <w:rPr>
          <w:lang w:val="en-US" w:eastAsia="zh-CN"/>
        </w:rPr>
      </w:pPr>
      <w:r>
        <w:rPr>
          <w:lang w:val="en-US" w:eastAsia="zh-CN"/>
        </w:rPr>
        <w:t xml:space="preserve">In RAN4 #115, it has been agreed: </w:t>
      </w:r>
    </w:p>
    <w:tbl>
      <w:tblPr>
        <w:tblStyle w:val="TableGrid"/>
        <w:tblW w:w="0" w:type="auto"/>
        <w:tblLook w:val="04A0" w:firstRow="1" w:lastRow="0" w:firstColumn="1" w:lastColumn="0" w:noHBand="0" w:noVBand="1"/>
      </w:tblPr>
      <w:tblGrid>
        <w:gridCol w:w="9617"/>
      </w:tblGrid>
      <w:tr w:rsidR="00F766CC" w14:paraId="6BD9895F" w14:textId="77777777" w:rsidTr="606B9295">
        <w:trPr>
          <w:trHeight w:val="1999"/>
        </w:trPr>
        <w:tc>
          <w:tcPr>
            <w:tcW w:w="9617" w:type="dxa"/>
          </w:tcPr>
          <w:p w14:paraId="727A54CD" w14:textId="77777777" w:rsidR="00EB1D90" w:rsidRDefault="00EB1D90" w:rsidP="00EB1D90">
            <w:pPr>
              <w:pStyle w:val="paragraph"/>
              <w:numPr>
                <w:ilvl w:val="0"/>
                <w:numId w:val="98"/>
              </w:numPr>
              <w:spacing w:before="0" w:beforeAutospacing="0" w:after="0" w:afterAutospacing="0"/>
              <w:ind w:left="1080" w:firstLine="0"/>
              <w:textAlignment w:val="baseline"/>
              <w:rPr>
                <w:sz w:val="22"/>
                <w:szCs w:val="22"/>
              </w:rPr>
            </w:pPr>
            <w:r>
              <w:rPr>
                <w:rStyle w:val="normaltextrun"/>
                <w:color w:val="0070C0"/>
                <w:sz w:val="20"/>
                <w:szCs w:val="20"/>
              </w:rPr>
              <w:t>Agreements </w:t>
            </w:r>
            <w:r>
              <w:rPr>
                <w:rStyle w:val="eop"/>
                <w:color w:val="0070C0"/>
                <w:sz w:val="20"/>
                <w:szCs w:val="20"/>
              </w:rPr>
              <w:t> </w:t>
            </w:r>
          </w:p>
          <w:p w14:paraId="5A142BF7" w14:textId="77777777" w:rsidR="00EB1D90" w:rsidRDefault="00EB1D90" w:rsidP="00EB1D90">
            <w:pPr>
              <w:pStyle w:val="paragraph"/>
              <w:numPr>
                <w:ilvl w:val="0"/>
                <w:numId w:val="99"/>
              </w:numPr>
              <w:spacing w:before="0" w:beforeAutospacing="0" w:after="0" w:afterAutospacing="0"/>
              <w:ind w:left="1440" w:firstLine="0"/>
              <w:textAlignment w:val="baseline"/>
              <w:rPr>
                <w:sz w:val="22"/>
                <w:szCs w:val="22"/>
              </w:rPr>
            </w:pPr>
            <w:r>
              <w:rPr>
                <w:rStyle w:val="normaltextrun"/>
                <w:sz w:val="20"/>
                <w:szCs w:val="20"/>
              </w:rPr>
              <w:t>For L1-RSRP and L1-SINR</w:t>
            </w:r>
            <w:r>
              <w:rPr>
                <w:rStyle w:val="eop"/>
                <w:sz w:val="20"/>
                <w:szCs w:val="20"/>
              </w:rPr>
              <w:t> </w:t>
            </w:r>
          </w:p>
          <w:p w14:paraId="52E7875C" w14:textId="77777777" w:rsidR="00EB1D90" w:rsidRDefault="00EB1D90" w:rsidP="00EB1D90">
            <w:pPr>
              <w:pStyle w:val="paragraph"/>
              <w:numPr>
                <w:ilvl w:val="0"/>
                <w:numId w:val="100"/>
              </w:numPr>
              <w:spacing w:before="0" w:beforeAutospacing="0" w:after="0" w:afterAutospacing="0"/>
              <w:ind w:left="2160" w:firstLine="0"/>
              <w:textAlignment w:val="baseline"/>
              <w:rPr>
                <w:sz w:val="22"/>
                <w:szCs w:val="22"/>
              </w:rPr>
            </w:pPr>
            <w:r>
              <w:rPr>
                <w:rStyle w:val="normaltextrun"/>
                <w:sz w:val="20"/>
                <w:szCs w:val="20"/>
              </w:rPr>
              <w:t>Measurement period is extended by using R16 NR-U approach.</w:t>
            </w:r>
            <w:r>
              <w:rPr>
                <w:rStyle w:val="eop"/>
                <w:sz w:val="20"/>
                <w:szCs w:val="20"/>
              </w:rPr>
              <w:t> </w:t>
            </w:r>
          </w:p>
          <w:p w14:paraId="1740AC17" w14:textId="77777777" w:rsidR="00EB1D90" w:rsidRDefault="00EB1D90" w:rsidP="00EB1D90">
            <w:pPr>
              <w:pStyle w:val="paragraph"/>
              <w:numPr>
                <w:ilvl w:val="0"/>
                <w:numId w:val="101"/>
              </w:numPr>
              <w:spacing w:before="0" w:beforeAutospacing="0" w:after="0" w:afterAutospacing="0"/>
              <w:ind w:left="1440" w:firstLine="0"/>
              <w:textAlignment w:val="baseline"/>
              <w:rPr>
                <w:sz w:val="22"/>
                <w:szCs w:val="22"/>
              </w:rPr>
            </w:pPr>
            <w:r>
              <w:rPr>
                <w:rStyle w:val="normaltextrun"/>
                <w:sz w:val="20"/>
                <w:szCs w:val="20"/>
              </w:rPr>
              <w:t>For RLM/BFD/CBD</w:t>
            </w:r>
            <w:r>
              <w:rPr>
                <w:rStyle w:val="eop"/>
                <w:sz w:val="20"/>
                <w:szCs w:val="20"/>
              </w:rPr>
              <w:t> </w:t>
            </w:r>
          </w:p>
          <w:p w14:paraId="2716B5C4" w14:textId="77777777" w:rsidR="00EB1D90" w:rsidRDefault="00EB1D90" w:rsidP="00EB1D90">
            <w:pPr>
              <w:pStyle w:val="paragraph"/>
              <w:numPr>
                <w:ilvl w:val="0"/>
                <w:numId w:val="102"/>
              </w:numPr>
              <w:spacing w:before="0" w:beforeAutospacing="0" w:after="0" w:afterAutospacing="0"/>
              <w:ind w:left="2160" w:firstLine="0"/>
              <w:textAlignment w:val="baseline"/>
              <w:rPr>
                <w:sz w:val="22"/>
                <w:szCs w:val="22"/>
              </w:rPr>
            </w:pPr>
            <w:r>
              <w:rPr>
                <w:rStyle w:val="normaltextrun"/>
                <w:sz w:val="20"/>
                <w:szCs w:val="20"/>
              </w:rPr>
              <w:t>Confirm the following for defining the requirements</w:t>
            </w:r>
            <w:r>
              <w:rPr>
                <w:rStyle w:val="eop"/>
                <w:sz w:val="20"/>
                <w:szCs w:val="20"/>
              </w:rPr>
              <w:t> </w:t>
            </w:r>
          </w:p>
          <w:p w14:paraId="2D47D7A7" w14:textId="77777777" w:rsidR="00EB1D90" w:rsidRDefault="00EB1D90" w:rsidP="00EB1D90">
            <w:pPr>
              <w:pStyle w:val="paragraph"/>
              <w:numPr>
                <w:ilvl w:val="0"/>
                <w:numId w:val="103"/>
              </w:numPr>
              <w:spacing w:before="0" w:beforeAutospacing="0" w:after="0" w:afterAutospacing="0"/>
              <w:ind w:left="2880" w:firstLine="0"/>
              <w:textAlignment w:val="baseline"/>
              <w:rPr>
                <w:sz w:val="22"/>
                <w:szCs w:val="22"/>
              </w:rPr>
            </w:pPr>
            <w:r>
              <w:rPr>
                <w:rStyle w:val="normaltextrun"/>
                <w:sz w:val="20"/>
                <w:szCs w:val="20"/>
              </w:rPr>
              <w:t>RAN4 to define requirements based on the assumption that occasions of a single CSI-RS resource are all in the same symbol type.</w:t>
            </w:r>
            <w:r>
              <w:rPr>
                <w:rStyle w:val="eop"/>
                <w:sz w:val="20"/>
                <w:szCs w:val="20"/>
              </w:rPr>
              <w:t> </w:t>
            </w:r>
          </w:p>
          <w:p w14:paraId="4551BD57" w14:textId="161CCBB3" w:rsidR="00F766CC" w:rsidRPr="0052178E" w:rsidRDefault="00EB1D90" w:rsidP="606B9295">
            <w:pPr>
              <w:pStyle w:val="paragraph"/>
              <w:numPr>
                <w:ilvl w:val="0"/>
                <w:numId w:val="104"/>
              </w:numPr>
              <w:spacing w:before="0" w:beforeAutospacing="0" w:after="0" w:afterAutospacing="0"/>
              <w:ind w:left="2880" w:firstLine="0"/>
              <w:textAlignment w:val="baseline"/>
              <w:rPr>
                <w:sz w:val="22"/>
                <w:szCs w:val="22"/>
              </w:rPr>
            </w:pPr>
            <w:r w:rsidRPr="606B9295">
              <w:rPr>
                <w:rStyle w:val="normaltextrun"/>
                <w:sz w:val="20"/>
                <w:szCs w:val="20"/>
              </w:rPr>
              <w:t>Existing measurement period apply.</w:t>
            </w:r>
          </w:p>
        </w:tc>
      </w:tr>
    </w:tbl>
    <w:p w14:paraId="6568A673" w14:textId="77777777" w:rsidR="002123D9" w:rsidRDefault="002123D9" w:rsidP="004D2DE1">
      <w:pPr>
        <w:rPr>
          <w:b/>
          <w:bCs/>
          <w:u w:val="single"/>
          <w:lang w:val="en-US" w:eastAsia="zh-CN"/>
        </w:rPr>
      </w:pPr>
    </w:p>
    <w:p w14:paraId="250283D8" w14:textId="77777777" w:rsidR="00513252" w:rsidRDefault="00B8480E" w:rsidP="004D2DE1">
      <w:pPr>
        <w:rPr>
          <w:b/>
          <w:bCs/>
          <w:u w:val="single"/>
          <w:lang w:val="en-US" w:eastAsia="zh-CN"/>
        </w:rPr>
      </w:pPr>
      <w:r w:rsidRPr="00713B3E">
        <w:rPr>
          <w:b/>
          <w:u w:val="single"/>
          <w:lang w:val="en-US" w:eastAsia="zh-CN"/>
        </w:rPr>
        <w:t>Lmax when using NR-U approach for L1 CSI-RS measurement</w:t>
      </w:r>
      <w:r w:rsidR="007B04A4">
        <w:rPr>
          <w:b/>
          <w:bCs/>
          <w:u w:val="single"/>
          <w:lang w:val="en-US" w:eastAsia="zh-CN"/>
        </w:rPr>
        <w:t xml:space="preserve">: </w:t>
      </w:r>
    </w:p>
    <w:p w14:paraId="1C04D3FE" w14:textId="204227ED" w:rsidR="00C974C9" w:rsidRPr="00713B3E" w:rsidRDefault="00C974C9" w:rsidP="004D2DE1">
      <w:pPr>
        <w:rPr>
          <w:lang w:val="en-US" w:eastAsia="zh-CN"/>
        </w:rPr>
      </w:pPr>
      <w:r w:rsidRPr="00513252">
        <w:rPr>
          <w:lang w:val="en-US" w:eastAsia="zh-CN"/>
        </w:rPr>
        <w:t xml:space="preserve">In the past RAN4 meeting, it has been agreed to extend the measurement period of </w:t>
      </w:r>
      <w:r w:rsidR="00DA36B6">
        <w:rPr>
          <w:lang w:val="en-US" w:eastAsia="zh-CN"/>
        </w:rPr>
        <w:t xml:space="preserve">CSI-RS based </w:t>
      </w:r>
      <w:r w:rsidRPr="00713B3E">
        <w:rPr>
          <w:lang w:val="en-US" w:eastAsia="zh-CN"/>
        </w:rPr>
        <w:t>L1-RSRP and L1-SINR based on the NR-U approach.</w:t>
      </w:r>
    </w:p>
    <w:p w14:paraId="76110735" w14:textId="6423FF07" w:rsidR="00C974C9" w:rsidRDefault="00C974C9" w:rsidP="00E81D64">
      <w:pPr>
        <w:jc w:val="both"/>
        <w:rPr>
          <w:lang w:val="en-US" w:eastAsia="zh-CN"/>
        </w:rPr>
      </w:pPr>
      <w:r w:rsidRPr="00713B3E">
        <w:rPr>
          <w:lang w:val="en-US" w:eastAsia="zh-CN"/>
        </w:rPr>
        <w:t>The NR-U approach consists o</w:t>
      </w:r>
      <w:r>
        <w:rPr>
          <w:lang w:val="en-US" w:eastAsia="zh-CN"/>
        </w:rPr>
        <w:t>f</w:t>
      </w:r>
      <w:r w:rsidRPr="00E81D64">
        <w:rPr>
          <w:lang w:val="en-US" w:eastAsia="zh-CN"/>
        </w:rPr>
        <w:t xml:space="preserve"> extend</w:t>
      </w:r>
      <w:r>
        <w:rPr>
          <w:lang w:val="en-US" w:eastAsia="zh-CN"/>
        </w:rPr>
        <w:t>ing</w:t>
      </w:r>
      <w:r w:rsidRPr="00D4747C">
        <w:rPr>
          <w:lang w:val="en-US" w:eastAsia="zh-CN"/>
        </w:rPr>
        <w:t xml:space="preserve"> the measurement period by the number of samples in which the reference signal </w:t>
      </w:r>
      <w:r w:rsidR="00F00C0E">
        <w:rPr>
          <w:lang w:val="en-US" w:eastAsia="zh-CN"/>
        </w:rPr>
        <w:t>is</w:t>
      </w:r>
      <w:r>
        <w:rPr>
          <w:lang w:val="en-US" w:eastAsia="zh-CN"/>
        </w:rPr>
        <w:t xml:space="preserve"> not </w:t>
      </w:r>
      <w:r w:rsidR="00F00C0E">
        <w:rPr>
          <w:lang w:val="en-US" w:eastAsia="zh-CN"/>
        </w:rPr>
        <w:t>available at the UE</w:t>
      </w:r>
      <w:r w:rsidRPr="00D4747C">
        <w:rPr>
          <w:lang w:val="en-US" w:eastAsia="zh-CN"/>
        </w:rPr>
        <w:t xml:space="preserve">. </w:t>
      </w:r>
      <w:r w:rsidR="00026895">
        <w:rPr>
          <w:lang w:val="en-US" w:eastAsia="zh-CN"/>
        </w:rPr>
        <w:t xml:space="preserve">In this case, the </w:t>
      </w:r>
      <w:r>
        <w:rPr>
          <w:lang w:val="en-US" w:eastAsia="zh-CN"/>
        </w:rPr>
        <w:t xml:space="preserve">clear channel assessment (CCA) </w:t>
      </w:r>
      <w:r w:rsidR="00026895">
        <w:rPr>
          <w:lang w:val="en-US" w:eastAsia="zh-CN"/>
        </w:rPr>
        <w:t>is performed by the gNB, and on the UE side, there is a</w:t>
      </w:r>
      <w:r w:rsidR="00E615A1">
        <w:rPr>
          <w:lang w:val="en-US" w:eastAsia="zh-CN"/>
        </w:rPr>
        <w:t xml:space="preserve">n uncertainty of whether the </w:t>
      </w:r>
      <w:r w:rsidR="004E1E36">
        <w:rPr>
          <w:lang w:val="en-US" w:eastAsia="zh-CN"/>
        </w:rPr>
        <w:t xml:space="preserve">reference signal has been sent and received with very low power, or whether the reference signal has not been transmitted due to CCA failure. In order to </w:t>
      </w:r>
      <w:r w:rsidR="00A55DB8">
        <w:rPr>
          <w:lang w:val="en-US" w:eastAsia="zh-CN"/>
        </w:rPr>
        <w:t xml:space="preserve">avoid </w:t>
      </w:r>
      <w:r w:rsidR="004E1E36">
        <w:rPr>
          <w:lang w:val="en-US" w:eastAsia="zh-CN"/>
        </w:rPr>
        <w:t>extend</w:t>
      </w:r>
      <w:r w:rsidR="00A55DB8">
        <w:rPr>
          <w:lang w:val="en-US" w:eastAsia="zh-CN"/>
        </w:rPr>
        <w:t>ing</w:t>
      </w:r>
      <w:r w:rsidR="004E1E36">
        <w:rPr>
          <w:lang w:val="en-US" w:eastAsia="zh-CN"/>
        </w:rPr>
        <w:t xml:space="preserve"> the measurement period indefinitely, </w:t>
      </w:r>
      <w:r w:rsidR="00A55DB8">
        <w:rPr>
          <w:lang w:val="en-US" w:eastAsia="zh-CN"/>
        </w:rPr>
        <w:t>RAN4 has agreed that the measurement period would be increased up to a maximum number of failures, referred to as Lmax in different agreements</w:t>
      </w:r>
      <w:r w:rsidR="00BB0C8E">
        <w:rPr>
          <w:lang w:val="en-US" w:eastAsia="zh-CN"/>
        </w:rPr>
        <w:t xml:space="preserve"> and tables in TS 38.133</w:t>
      </w:r>
      <w:r w:rsidR="00A55DB8">
        <w:rPr>
          <w:lang w:val="en-US" w:eastAsia="zh-CN"/>
        </w:rPr>
        <w:t xml:space="preserve">. </w:t>
      </w:r>
    </w:p>
    <w:p w14:paraId="5F816872" w14:textId="2AD8AEEF" w:rsidR="00034A05" w:rsidRDefault="002C2DDD" w:rsidP="00513252">
      <w:pPr>
        <w:pStyle w:val="RAN4observation0"/>
        <w:ind w:left="0" w:firstLine="0"/>
        <w:jc w:val="both"/>
        <w:rPr>
          <w:lang w:val="en-US" w:eastAsia="zh-CN"/>
        </w:rPr>
      </w:pPr>
      <w:bookmarkStart w:id="12" w:name="_Toc206141189"/>
      <w:r>
        <w:rPr>
          <w:lang w:val="en-US" w:eastAsia="zh-CN"/>
        </w:rPr>
        <w:t>In NR-U,</w:t>
      </w:r>
      <w:r w:rsidR="00DE480E">
        <w:rPr>
          <w:lang w:val="en-US" w:eastAsia="zh-CN"/>
        </w:rPr>
        <w:t xml:space="preserve"> the UE is not aware</w:t>
      </w:r>
      <w:r w:rsidR="00AF6215">
        <w:rPr>
          <w:lang w:val="en-US" w:eastAsia="zh-CN"/>
        </w:rPr>
        <w:t>, in advance,</w:t>
      </w:r>
      <w:r w:rsidR="00DE480E">
        <w:rPr>
          <w:lang w:val="en-US" w:eastAsia="zh-CN"/>
        </w:rPr>
        <w:t xml:space="preserve"> of the </w:t>
      </w:r>
      <w:r w:rsidR="00AF6215">
        <w:rPr>
          <w:lang w:val="en-US" w:eastAsia="zh-CN"/>
        </w:rPr>
        <w:t xml:space="preserve">number </w:t>
      </w:r>
      <w:r w:rsidR="00DE480E">
        <w:rPr>
          <w:lang w:val="en-US" w:eastAsia="zh-CN"/>
        </w:rPr>
        <w:t>CCA failure at the gNB side</w:t>
      </w:r>
      <w:r w:rsidR="00F87BA9">
        <w:rPr>
          <w:lang w:val="en-US" w:eastAsia="zh-CN"/>
        </w:rPr>
        <w:t xml:space="preserve"> during a measurement period</w:t>
      </w:r>
      <w:r w:rsidR="00DE480E">
        <w:rPr>
          <w:lang w:val="en-US" w:eastAsia="zh-CN"/>
        </w:rPr>
        <w:t>. Lmax has been introduced to avoid that the UE extends the measurement period indefinitely.</w:t>
      </w:r>
      <w:bookmarkEnd w:id="12"/>
    </w:p>
    <w:p w14:paraId="3CF80ECB" w14:textId="277950B6" w:rsidR="00A55DB8" w:rsidRDefault="00A55DB8" w:rsidP="00E81D64">
      <w:pPr>
        <w:jc w:val="both"/>
        <w:rPr>
          <w:lang w:val="en-US" w:eastAsia="zh-CN"/>
        </w:rPr>
      </w:pPr>
      <w:r>
        <w:rPr>
          <w:lang w:val="en-US" w:eastAsia="zh-CN"/>
        </w:rPr>
        <w:t xml:space="preserve">In SBFD, RAN4 has agreed that the L1-RSRP and L1-SINR would also be extended to consider that the reference signals could overlap with symbols of different type. </w:t>
      </w:r>
      <w:r w:rsidR="003F79D4">
        <w:rPr>
          <w:lang w:val="en-US" w:eastAsia="zh-CN"/>
        </w:rPr>
        <w:t xml:space="preserve">However, the situation is different from the NR-U case, because in SBFD, both the UE and the gNB are aware </w:t>
      </w:r>
      <w:r w:rsidR="003C2541">
        <w:rPr>
          <w:lang w:val="en-US" w:eastAsia="zh-CN"/>
        </w:rPr>
        <w:t>of</w:t>
      </w:r>
      <w:r w:rsidR="003F79D4">
        <w:rPr>
          <w:lang w:val="en-US" w:eastAsia="zh-CN"/>
        </w:rPr>
        <w:t xml:space="preserve"> the reference signal and measurement configuration</w:t>
      </w:r>
      <w:r w:rsidR="00ED2BF9">
        <w:rPr>
          <w:lang w:val="en-US" w:eastAsia="zh-CN"/>
        </w:rPr>
        <w:t>s</w:t>
      </w:r>
      <w:r w:rsidR="003F79D4">
        <w:rPr>
          <w:lang w:val="en-US" w:eastAsia="zh-CN"/>
        </w:rPr>
        <w:t xml:space="preserve">, and the time location of the SBFD subbands. </w:t>
      </w:r>
      <w:r w:rsidR="003C2541">
        <w:rPr>
          <w:lang w:val="en-US" w:eastAsia="zh-CN"/>
        </w:rPr>
        <w:t>In SBFD, t</w:t>
      </w:r>
      <w:r w:rsidR="003F79D4">
        <w:rPr>
          <w:lang w:val="en-US" w:eastAsia="zh-CN"/>
        </w:rPr>
        <w:t>here is no uncertainty about the reference signal occasions that overlap with symbols of different types.</w:t>
      </w:r>
    </w:p>
    <w:p w14:paraId="34E44E28" w14:textId="071C3A16" w:rsidR="00034A05" w:rsidRDefault="00DE480E" w:rsidP="00513252">
      <w:pPr>
        <w:pStyle w:val="RAN4observation0"/>
        <w:ind w:left="0" w:firstLine="0"/>
        <w:jc w:val="both"/>
        <w:rPr>
          <w:lang w:val="en-US" w:eastAsia="zh-CN"/>
        </w:rPr>
      </w:pPr>
      <w:bookmarkStart w:id="13" w:name="_Toc206141190"/>
      <w:r>
        <w:rPr>
          <w:lang w:val="en-US" w:eastAsia="zh-CN"/>
        </w:rPr>
        <w:t xml:space="preserve">In SBFD, both the UE and the gNB are aware of the reference signal configuration and </w:t>
      </w:r>
      <w:r w:rsidR="00C47B45">
        <w:rPr>
          <w:lang w:val="en-US" w:eastAsia="zh-CN"/>
        </w:rPr>
        <w:t>aware of</w:t>
      </w:r>
      <w:r>
        <w:rPr>
          <w:lang w:val="en-US" w:eastAsia="zh-CN"/>
        </w:rPr>
        <w:t xml:space="preserve"> the </w:t>
      </w:r>
      <w:r w:rsidR="004632F9">
        <w:rPr>
          <w:lang w:val="en-US" w:eastAsia="zh-CN"/>
        </w:rPr>
        <w:t xml:space="preserve">frame structure, considering </w:t>
      </w:r>
      <w:r w:rsidR="00AD219E">
        <w:rPr>
          <w:lang w:val="en-US" w:eastAsia="zh-CN"/>
        </w:rPr>
        <w:t>the</w:t>
      </w:r>
      <w:r w:rsidR="004632F9">
        <w:rPr>
          <w:lang w:val="en-US" w:eastAsia="zh-CN"/>
        </w:rPr>
        <w:t xml:space="preserve"> time location of SBFD subbands. </w:t>
      </w:r>
      <w:r w:rsidR="00992775">
        <w:rPr>
          <w:lang w:val="en-US" w:eastAsia="zh-CN"/>
        </w:rPr>
        <w:t>There is no uncertainty about the reference signal occasions that overlap with symbols of different types.</w:t>
      </w:r>
      <w:bookmarkEnd w:id="13"/>
    </w:p>
    <w:p w14:paraId="097357D5" w14:textId="36F27FAE" w:rsidR="003F79D4" w:rsidRDefault="003F79D4" w:rsidP="00E81D64">
      <w:pPr>
        <w:jc w:val="both"/>
        <w:rPr>
          <w:lang w:val="en-US" w:eastAsia="zh-CN"/>
        </w:rPr>
      </w:pPr>
      <w:r>
        <w:rPr>
          <w:lang w:val="en-US" w:eastAsia="zh-CN"/>
        </w:rPr>
        <w:t xml:space="preserve">Therefore, </w:t>
      </w:r>
      <w:r w:rsidR="008232ED">
        <w:rPr>
          <w:lang w:val="en-US" w:eastAsia="zh-CN"/>
        </w:rPr>
        <w:t xml:space="preserve">our proposal is to extend the measurement period of L1-RSRP and L1-SINR based on the number of samples that overlap with symbols other than the valid symbol type. </w:t>
      </w:r>
      <w:r w:rsidR="00034A05">
        <w:rPr>
          <w:lang w:val="en-US" w:eastAsia="zh-CN"/>
        </w:rPr>
        <w:t xml:space="preserve">However, we do not see a reason for defining a maximum number of overlapping symbols. </w:t>
      </w:r>
    </w:p>
    <w:p w14:paraId="7EEA0859" w14:textId="23977A6B" w:rsidR="00034A05" w:rsidRDefault="004632F9">
      <w:pPr>
        <w:pStyle w:val="RAN4proposal"/>
        <w:jc w:val="both"/>
        <w:rPr>
          <w:lang w:val="en-US" w:eastAsia="zh-CN"/>
        </w:rPr>
      </w:pPr>
      <w:bookmarkStart w:id="14" w:name="_Toc206141191"/>
      <w:r w:rsidRPr="1F9995C0">
        <w:rPr>
          <w:lang w:val="en-US" w:eastAsia="zh-CN"/>
        </w:rPr>
        <w:t xml:space="preserve">Do not </w:t>
      </w:r>
      <w:r w:rsidR="7F8F4208" w:rsidRPr="1F9995C0">
        <w:rPr>
          <w:lang w:val="en-US" w:eastAsia="zh-CN"/>
        </w:rPr>
        <w:t xml:space="preserve">define </w:t>
      </w:r>
      <w:r w:rsidRPr="1F9995C0">
        <w:rPr>
          <w:lang w:val="en-US" w:eastAsia="zh-CN"/>
        </w:rPr>
        <w:t>Lmax values in the extension of the L1-RSRP and L1-SINR measurement periods.</w:t>
      </w:r>
      <w:bookmarkEnd w:id="14"/>
    </w:p>
    <w:p w14:paraId="2034DEF6" w14:textId="77777777" w:rsidR="00644715" w:rsidRPr="00644715" w:rsidRDefault="00644715" w:rsidP="008D212D">
      <w:pPr>
        <w:rPr>
          <w:lang w:val="en-US" w:eastAsia="zh-CN"/>
        </w:rPr>
      </w:pPr>
      <w:bookmarkStart w:id="15" w:name="_Toc116995848"/>
      <w:bookmarkEnd w:id="4"/>
    </w:p>
    <w:p w14:paraId="000551E2" w14:textId="7969300D" w:rsidR="00ED6309" w:rsidRDefault="00ED6309" w:rsidP="003A7BDE">
      <w:pPr>
        <w:pStyle w:val="RAN4H2"/>
      </w:pPr>
      <w:r w:rsidRPr="00585E5D">
        <w:t>RACH requirements</w:t>
      </w:r>
    </w:p>
    <w:p w14:paraId="4C84F4AB" w14:textId="7E38D5C4" w:rsidR="00467979" w:rsidRPr="005B52C8" w:rsidRDefault="00467979" w:rsidP="00275C65">
      <w:r>
        <w:rPr>
          <w:lang w:val="en-US" w:eastAsia="zh-CN"/>
        </w:rPr>
        <w:t xml:space="preserve">In RAN4 meeting #114b, the following was agreed: </w:t>
      </w:r>
    </w:p>
    <w:tbl>
      <w:tblPr>
        <w:tblStyle w:val="TableGrid"/>
        <w:tblW w:w="0" w:type="auto"/>
        <w:tblLook w:val="04A0" w:firstRow="1" w:lastRow="0" w:firstColumn="1" w:lastColumn="0" w:noHBand="0" w:noVBand="1"/>
      </w:tblPr>
      <w:tblGrid>
        <w:gridCol w:w="9617"/>
      </w:tblGrid>
      <w:tr w:rsidR="00467979" w14:paraId="03CE8DE3" w14:textId="77777777" w:rsidTr="00467979">
        <w:tc>
          <w:tcPr>
            <w:tcW w:w="9617" w:type="dxa"/>
          </w:tcPr>
          <w:p w14:paraId="70448438" w14:textId="77777777" w:rsidR="00467979" w:rsidRPr="00C942A1" w:rsidRDefault="00467979" w:rsidP="00467979">
            <w:pPr>
              <w:rPr>
                <w:lang w:val="sv-SE" w:eastAsia="zh-CN"/>
              </w:rPr>
            </w:pPr>
            <w:r w:rsidRPr="00C942A1">
              <w:rPr>
                <w:lang w:val="sv-SE" w:eastAsia="zh-CN"/>
              </w:rPr>
              <w:t xml:space="preserve">Issue 2-1-4: Requirements for RACH requirements  </w:t>
            </w:r>
          </w:p>
          <w:p w14:paraId="0F914F55" w14:textId="77777777" w:rsidR="00467979" w:rsidRPr="00C942A1" w:rsidRDefault="00467979" w:rsidP="00467979">
            <w:pPr>
              <w:numPr>
                <w:ilvl w:val="0"/>
                <w:numId w:val="58"/>
              </w:numPr>
              <w:rPr>
                <w:lang w:eastAsia="zh-CN"/>
              </w:rPr>
            </w:pPr>
            <w:r w:rsidRPr="00C942A1">
              <w:rPr>
                <w:lang w:eastAsia="zh-CN"/>
              </w:rPr>
              <w:t xml:space="preserve">Agreements  </w:t>
            </w:r>
          </w:p>
          <w:p w14:paraId="549D3470" w14:textId="013C16F2" w:rsidR="00467979" w:rsidRPr="00C942A1" w:rsidRDefault="00467979" w:rsidP="00467979">
            <w:pPr>
              <w:numPr>
                <w:ilvl w:val="1"/>
                <w:numId w:val="58"/>
              </w:numPr>
              <w:rPr>
                <w:lang w:eastAsia="zh-CN"/>
              </w:rPr>
            </w:pPr>
            <w:r w:rsidRPr="00C942A1">
              <w:rPr>
                <w:lang w:eastAsia="zh-CN"/>
              </w:rPr>
              <w:t>Discuss whether and how RACH requirements are to be updated for SBFD operation based on RAN2 agreement.</w:t>
            </w:r>
          </w:p>
          <w:p w14:paraId="3E880903" w14:textId="77777777" w:rsidR="00467979" w:rsidRPr="00275C65" w:rsidRDefault="00467979" w:rsidP="00467979">
            <w:pPr>
              <w:rPr>
                <w:lang w:eastAsia="zh-CN"/>
              </w:rPr>
            </w:pPr>
          </w:p>
        </w:tc>
      </w:tr>
    </w:tbl>
    <w:p w14:paraId="5DE1B0AA" w14:textId="77777777" w:rsidR="00275C65" w:rsidRDefault="00275C65" w:rsidP="00ED6309">
      <w:pPr>
        <w:rPr>
          <w:lang w:val="en-US"/>
        </w:rPr>
      </w:pPr>
    </w:p>
    <w:p w14:paraId="71936825" w14:textId="711C186B" w:rsidR="00CC70BD" w:rsidRPr="00585E5D" w:rsidRDefault="00CC70BD" w:rsidP="00ED6309">
      <w:pPr>
        <w:rPr>
          <w:lang w:val="en-US"/>
        </w:rPr>
      </w:pPr>
      <w:r w:rsidRPr="00585E5D">
        <w:rPr>
          <w:lang w:val="en-US"/>
        </w:rPr>
        <w:t xml:space="preserve">In TS 38.133, </w:t>
      </w:r>
      <w:r w:rsidR="00551F77" w:rsidRPr="00585E5D">
        <w:rPr>
          <w:lang w:val="en-US"/>
        </w:rPr>
        <w:t xml:space="preserve">the correct behaviour when not receiving Random Access Response is: </w:t>
      </w:r>
    </w:p>
    <w:tbl>
      <w:tblPr>
        <w:tblStyle w:val="TableGrid"/>
        <w:tblW w:w="0" w:type="auto"/>
        <w:tblLook w:val="04A0" w:firstRow="1" w:lastRow="0" w:firstColumn="1" w:lastColumn="0" w:noHBand="0" w:noVBand="1"/>
      </w:tblPr>
      <w:tblGrid>
        <w:gridCol w:w="9617"/>
      </w:tblGrid>
      <w:tr w:rsidR="00C4099E" w:rsidRPr="00FF4CC1" w14:paraId="70B1EA9D" w14:textId="77777777" w:rsidTr="00C4099E">
        <w:tc>
          <w:tcPr>
            <w:tcW w:w="9617" w:type="dxa"/>
          </w:tcPr>
          <w:p w14:paraId="47039D2F" w14:textId="551BEDB6" w:rsidR="00C4099E" w:rsidRPr="00585E5D" w:rsidRDefault="00C4099E" w:rsidP="00ED6309">
            <w:pPr>
              <w:rPr>
                <w:lang w:val="en-US"/>
              </w:rPr>
            </w:pPr>
            <w:r w:rsidRPr="00585E5D">
              <w:rPr>
                <w:lang w:val="en-US"/>
              </w:rPr>
              <w:t>The UE shall again perform the Random Access Resource selection procedure defined in clause 5.1.2 in TS 38.321 [7] for the next available PRACH occasion, and transmit the preamble with the calculated PRACH transmission power, if no Random Access Response is received within the RA Response window configured in RACH-ConfigCommon or if no PDCCH addressed to UE’s C-RNTI is received within the RA Response window configured in BeamFailureRecoveryConfig, as defined in clause 5.1.4 in TS 38.321 [7].</w:t>
            </w:r>
          </w:p>
        </w:tc>
      </w:tr>
    </w:tbl>
    <w:p w14:paraId="4D8F8B8B" w14:textId="77777777" w:rsidR="00551F77" w:rsidRPr="00585E5D" w:rsidRDefault="00551F77" w:rsidP="00ED6309">
      <w:pPr>
        <w:rPr>
          <w:lang w:val="en-US"/>
        </w:rPr>
      </w:pPr>
    </w:p>
    <w:p w14:paraId="2571335E" w14:textId="47AE2D18" w:rsidR="00A25957" w:rsidRPr="00585E5D" w:rsidRDefault="006247C8" w:rsidP="00A25957">
      <w:pPr>
        <w:rPr>
          <w:lang w:val="en-US"/>
        </w:rPr>
      </w:pPr>
      <w:r w:rsidRPr="00585E5D">
        <w:rPr>
          <w:lang w:val="en-US"/>
        </w:rPr>
        <w:t>Currently</w:t>
      </w:r>
      <w:r w:rsidR="0005297A" w:rsidRPr="00585E5D">
        <w:rPr>
          <w:lang w:val="en-US"/>
        </w:rPr>
        <w:t xml:space="preserve">, the correct </w:t>
      </w:r>
      <w:r w:rsidRPr="00585E5D">
        <w:rPr>
          <w:lang w:val="en-US"/>
        </w:rPr>
        <w:t xml:space="preserve">UE </w:t>
      </w:r>
      <w:r w:rsidR="0005297A" w:rsidRPr="00585E5D">
        <w:rPr>
          <w:lang w:val="en-US"/>
        </w:rPr>
        <w:t>behavior is to update the PRACH transmission power</w:t>
      </w:r>
      <w:r w:rsidRPr="00585E5D">
        <w:rPr>
          <w:lang w:val="en-US"/>
        </w:rPr>
        <w:t xml:space="preserve"> if the Random Access Response is not received. </w:t>
      </w:r>
      <w:r w:rsidR="00A25957" w:rsidRPr="00585E5D">
        <w:rPr>
          <w:lang w:val="en-US"/>
        </w:rPr>
        <w:t>In the RAN2 #127bis</w:t>
      </w:r>
      <w:r w:rsidR="00A25957" w:rsidRPr="00585E5D">
        <w:rPr>
          <w:lang w:val="en-US"/>
        </w:rPr>
        <w:fldChar w:fldCharType="begin"/>
      </w:r>
      <w:r w:rsidR="00A25957" w:rsidRPr="00585E5D">
        <w:rPr>
          <w:lang w:val="en-US"/>
        </w:rPr>
        <w:instrText xml:space="preserve"> REF _Ref189642173 \r \h </w:instrText>
      </w:r>
      <w:r w:rsidR="00A25957" w:rsidRPr="00585E5D">
        <w:rPr>
          <w:lang w:val="en-US"/>
        </w:rPr>
      </w:r>
      <w:r w:rsidR="00A25957" w:rsidRPr="00585E5D">
        <w:rPr>
          <w:lang w:val="en-US"/>
        </w:rPr>
        <w:fldChar w:fldCharType="separate"/>
      </w:r>
      <w:r w:rsidR="00A25957" w:rsidRPr="00585E5D">
        <w:rPr>
          <w:lang w:val="en-US"/>
        </w:rPr>
        <w:t>[3]</w:t>
      </w:r>
      <w:r w:rsidR="00A25957" w:rsidRPr="00585E5D">
        <w:rPr>
          <w:lang w:val="en-US"/>
        </w:rPr>
        <w:fldChar w:fldCharType="end"/>
      </w:r>
      <w:r w:rsidR="00A25957" w:rsidRPr="00585E5D">
        <w:rPr>
          <w:lang w:val="en-US"/>
        </w:rPr>
        <w:t>, RAN2 has agreed that:</w:t>
      </w:r>
    </w:p>
    <w:tbl>
      <w:tblPr>
        <w:tblStyle w:val="TableGrid"/>
        <w:tblW w:w="0" w:type="auto"/>
        <w:tblLook w:val="04A0" w:firstRow="1" w:lastRow="0" w:firstColumn="1" w:lastColumn="0" w:noHBand="0" w:noVBand="1"/>
      </w:tblPr>
      <w:tblGrid>
        <w:gridCol w:w="9617"/>
      </w:tblGrid>
      <w:tr w:rsidR="00A25957" w:rsidRPr="00FF4CC1" w14:paraId="7520C611" w14:textId="77777777">
        <w:tc>
          <w:tcPr>
            <w:tcW w:w="9617" w:type="dxa"/>
          </w:tcPr>
          <w:p w14:paraId="02CC5D37" w14:textId="77777777" w:rsidR="00A25957" w:rsidRPr="00585E5D" w:rsidRDefault="00A25957">
            <w:pPr>
              <w:rPr>
                <w:lang w:val="en-US"/>
              </w:rPr>
            </w:pPr>
            <w:r w:rsidRPr="00585E5D">
              <w:rPr>
                <w:lang w:val="en-US"/>
              </w:rPr>
              <w:t>For the PRACH transmission re-attempt in one RACH procedure, after certain (configured) number of times of RACH attempt in SBFD RACH occasions, UE is allowed to switch to legacy RACH occasions. FFS about the case when UE select legacy ROs first.  </w:t>
            </w:r>
          </w:p>
        </w:tc>
      </w:tr>
    </w:tbl>
    <w:p w14:paraId="421350AD" w14:textId="636B8A8F" w:rsidR="006247C8" w:rsidRPr="00585E5D" w:rsidRDefault="006247C8" w:rsidP="2C72DAD2">
      <w:pPr>
        <w:rPr>
          <w:lang w:val="en-US"/>
        </w:rPr>
      </w:pPr>
    </w:p>
    <w:p w14:paraId="32983B83" w14:textId="7B2C09F3" w:rsidR="00A85EFB" w:rsidRDefault="00A85EFB" w:rsidP="2C72DAD2">
      <w:pPr>
        <w:rPr>
          <w:lang w:val="en-US"/>
        </w:rPr>
      </w:pPr>
      <w:r>
        <w:rPr>
          <w:lang w:val="en-US"/>
        </w:rPr>
        <w:t xml:space="preserve">In RAN2 #128bis, RAN2 agreed that: </w:t>
      </w:r>
    </w:p>
    <w:tbl>
      <w:tblPr>
        <w:tblStyle w:val="TableGrid"/>
        <w:tblW w:w="0" w:type="auto"/>
        <w:tblLook w:val="04A0" w:firstRow="1" w:lastRow="0" w:firstColumn="1" w:lastColumn="0" w:noHBand="0" w:noVBand="1"/>
      </w:tblPr>
      <w:tblGrid>
        <w:gridCol w:w="9617"/>
      </w:tblGrid>
      <w:tr w:rsidR="00A85EFB" w14:paraId="746CC199" w14:textId="77777777" w:rsidTr="00A85EFB">
        <w:tc>
          <w:tcPr>
            <w:tcW w:w="9617" w:type="dxa"/>
          </w:tcPr>
          <w:p w14:paraId="0531D311" w14:textId="77777777" w:rsidR="00B33E59" w:rsidRPr="00275C65" w:rsidRDefault="00B33E59" w:rsidP="00275C65">
            <w:pPr>
              <w:pStyle w:val="ListParagraph"/>
              <w:numPr>
                <w:ilvl w:val="0"/>
                <w:numId w:val="33"/>
              </w:numPr>
              <w:tabs>
                <w:tab w:val="left" w:pos="1636"/>
              </w:tabs>
              <w:spacing w:before="60"/>
              <w:rPr>
                <w:rFonts w:eastAsia="Times New Roman" w:cs="Times New Roman"/>
                <w:bCs/>
                <w:szCs w:val="20"/>
                <w:lang w:val="en-US" w:eastAsia="zh-CN"/>
              </w:rPr>
            </w:pPr>
            <w:r w:rsidRPr="00275C65">
              <w:rPr>
                <w:rFonts w:eastAsia="Times New Roman" w:cs="Times New Roman"/>
                <w:bCs/>
                <w:szCs w:val="20"/>
                <w:lang w:val="en-US" w:eastAsia="zh-CN"/>
              </w:rPr>
              <w:t>RO-Type change procedure on RO type selection from legacy RO to additional RO in SBFD symbols is supported when the number of PRACH transmission attempts exceed a threshold</w:t>
            </w:r>
            <w:r w:rsidRPr="00002D99">
              <w:rPr>
                <w:rFonts w:eastAsia="SimSun" w:cs="Times New Roman"/>
                <w:bCs/>
                <w:szCs w:val="20"/>
                <w:lang w:val="en-US" w:eastAsia="zh-CN"/>
              </w:rPr>
              <w:t xml:space="preserve"> (we assume it is the same threshold with the fallback from additional RO to legacy RO)</w:t>
            </w:r>
            <w:r w:rsidRPr="00275C65">
              <w:rPr>
                <w:rFonts w:eastAsia="Times New Roman" w:cs="Times New Roman"/>
                <w:bCs/>
                <w:szCs w:val="20"/>
                <w:lang w:val="en-US" w:eastAsia="zh-CN"/>
              </w:rPr>
              <w:t xml:space="preserve">. If fallback from legacy RO to additional RO occurs, no further fallback to legacy RO is supported. </w:t>
            </w:r>
          </w:p>
          <w:p w14:paraId="277952DD" w14:textId="77777777" w:rsidR="00A85EFB" w:rsidRDefault="00A85EFB" w:rsidP="2C72DAD2">
            <w:pPr>
              <w:rPr>
                <w:lang w:val="en-US"/>
              </w:rPr>
            </w:pPr>
          </w:p>
        </w:tc>
      </w:tr>
    </w:tbl>
    <w:p w14:paraId="447721F1" w14:textId="77777777" w:rsidR="00A85EFB" w:rsidRPr="00585E5D" w:rsidRDefault="00A85EFB" w:rsidP="2C72DAD2">
      <w:pPr>
        <w:rPr>
          <w:lang w:val="en-US"/>
        </w:rPr>
      </w:pPr>
    </w:p>
    <w:p w14:paraId="50B76ABB" w14:textId="77777777" w:rsidR="00667804" w:rsidRDefault="00624C42" w:rsidP="00ED6309">
      <w:pPr>
        <w:rPr>
          <w:lang w:val="en-US"/>
        </w:rPr>
      </w:pPr>
      <w:r w:rsidRPr="6389C381">
        <w:rPr>
          <w:lang w:val="en-US"/>
        </w:rPr>
        <w:t>According to the agreement</w:t>
      </w:r>
      <w:r w:rsidR="001540BC">
        <w:rPr>
          <w:lang w:val="en-US"/>
        </w:rPr>
        <w:t>s</w:t>
      </w:r>
      <w:r w:rsidRPr="6389C381">
        <w:rPr>
          <w:lang w:val="en-US"/>
        </w:rPr>
        <w:t xml:space="preserve"> above, the UE is allowed to switch</w:t>
      </w:r>
      <w:r w:rsidR="001540BC">
        <w:rPr>
          <w:lang w:val="en-US"/>
        </w:rPr>
        <w:t xml:space="preserve"> from </w:t>
      </w:r>
      <w:r w:rsidR="00361821">
        <w:rPr>
          <w:lang w:val="en-US"/>
        </w:rPr>
        <w:t>additional RACH occasions</w:t>
      </w:r>
      <w:r w:rsidRPr="6389C381">
        <w:rPr>
          <w:lang w:val="en-US"/>
        </w:rPr>
        <w:t xml:space="preserve"> to legacy RACH occasions</w:t>
      </w:r>
      <w:r w:rsidR="00361821">
        <w:rPr>
          <w:lang w:val="en-US"/>
        </w:rPr>
        <w:t>, and from legacy RACH occasions to additional RACH occasions</w:t>
      </w:r>
      <w:r w:rsidRPr="6389C381">
        <w:rPr>
          <w:lang w:val="en-US"/>
        </w:rPr>
        <w:t xml:space="preserve">. </w:t>
      </w:r>
      <w:r w:rsidR="00667804">
        <w:rPr>
          <w:lang w:val="en-US"/>
        </w:rPr>
        <w:t xml:space="preserve">This is not captured in the RAN4 requirements so far. </w:t>
      </w:r>
    </w:p>
    <w:p w14:paraId="098236F7" w14:textId="75D55012" w:rsidR="00EE2673" w:rsidRDefault="00EE2673" w:rsidP="606B9295">
      <w:pPr>
        <w:pStyle w:val="RAN4proposal"/>
        <w:ind w:left="0" w:firstLine="0"/>
      </w:pPr>
      <w:bookmarkStart w:id="16" w:name="_Toc197681214"/>
      <w:bookmarkStart w:id="17" w:name="_Toc206141193"/>
      <w:r w:rsidRPr="606B9295">
        <w:t xml:space="preserve">The </w:t>
      </w:r>
      <w:r w:rsidR="007048FF" w:rsidRPr="606B9295">
        <w:t>requirements for 4-step RA type</w:t>
      </w:r>
      <w:r w:rsidR="00A24DA8" w:rsidRPr="606B9295">
        <w:t xml:space="preserve"> in clause 6.</w:t>
      </w:r>
      <w:r w:rsidR="005277FB" w:rsidRPr="606B9295">
        <w:t>2.2.2</w:t>
      </w:r>
      <w:r w:rsidR="007048FF" w:rsidRPr="606B9295">
        <w:t xml:space="preserve"> are updated to take into account </w:t>
      </w:r>
      <w:r w:rsidR="0040611E" w:rsidRPr="606B9295">
        <w:t xml:space="preserve">the RO-type change procedure on RO type selection from legacy RO to additional RO in SBFD symbols, and the </w:t>
      </w:r>
      <w:r w:rsidR="00854970" w:rsidRPr="606B9295">
        <w:t>RO type selection from additional RO to legacy RO</w:t>
      </w:r>
      <w:r w:rsidR="00C01D84" w:rsidRPr="606B9295">
        <w:t>, as agreed in RAN2</w:t>
      </w:r>
      <w:r w:rsidR="009E0115" w:rsidRPr="606B9295">
        <w:t>. The exact update can be discussed during the CR drafting</w:t>
      </w:r>
      <w:r w:rsidR="009B770B" w:rsidRPr="606B9295">
        <w:t>.</w:t>
      </w:r>
      <w:bookmarkEnd w:id="16"/>
      <w:bookmarkEnd w:id="17"/>
      <w:r w:rsidR="009B770B" w:rsidRPr="606B9295">
        <w:t xml:space="preserve"> </w:t>
      </w:r>
      <w:r w:rsidR="00C039D2" w:rsidRPr="606B9295">
        <w:t xml:space="preserve"> </w:t>
      </w:r>
    </w:p>
    <w:p w14:paraId="4082E987" w14:textId="11CAE7FA" w:rsidR="00400166" w:rsidRDefault="00646171" w:rsidP="007C5B4D">
      <w:pPr>
        <w:pStyle w:val="RAN4H2"/>
        <w:ind w:left="426"/>
      </w:pPr>
      <w:r>
        <w:t>SCell activation</w:t>
      </w:r>
    </w:p>
    <w:p w14:paraId="513080A0" w14:textId="70D696BE" w:rsidR="00B64275" w:rsidRDefault="00B64275" w:rsidP="00B64275">
      <w:pPr>
        <w:rPr>
          <w:rFonts w:cstheme="minorHAnsi"/>
        </w:rPr>
      </w:pPr>
      <w:r>
        <w:rPr>
          <w:rFonts w:cstheme="minorHAnsi"/>
        </w:rPr>
        <w:t xml:space="preserve">In February meeting, RAN1 agreed to support SBFD operation in CA scenario as cited below. It also indicates the SBFD can be configured on SCell. </w:t>
      </w:r>
      <w:r w:rsidR="0020094E">
        <w:rPr>
          <w:rFonts w:cstheme="minorHAnsi"/>
        </w:rPr>
        <w:t xml:space="preserve">RAN4 should discuss how to define the SCell activation delay for activating an SBFD SCell. </w:t>
      </w:r>
      <w:r>
        <w:rPr>
          <w:rFonts w:cstheme="minorHAnsi"/>
        </w:rPr>
        <w:t xml:space="preserve"> </w:t>
      </w:r>
    </w:p>
    <w:tbl>
      <w:tblPr>
        <w:tblStyle w:val="TableGrid"/>
        <w:tblW w:w="0" w:type="auto"/>
        <w:tblLook w:val="04A0" w:firstRow="1" w:lastRow="0" w:firstColumn="1" w:lastColumn="0" w:noHBand="0" w:noVBand="1"/>
      </w:tblPr>
      <w:tblGrid>
        <w:gridCol w:w="9617"/>
      </w:tblGrid>
      <w:tr w:rsidR="00B64275" w:rsidRPr="009F153A" w14:paraId="2226B876" w14:textId="77777777" w:rsidTr="606B9295">
        <w:tc>
          <w:tcPr>
            <w:tcW w:w="9628" w:type="dxa"/>
          </w:tcPr>
          <w:p w14:paraId="4CC35C0E" w14:textId="77777777" w:rsidR="00B64275" w:rsidRPr="00324CDE" w:rsidRDefault="00B64275" w:rsidP="00213E7E">
            <w:pPr>
              <w:pStyle w:val="NormalWeb"/>
              <w:spacing w:before="0" w:beforeAutospacing="0" w:after="160" w:afterAutospacing="0"/>
              <w:rPr>
                <w:rFonts w:ascii="Calibri" w:hAnsi="Calibri" w:cs="Calibri"/>
                <w:sz w:val="21"/>
                <w:szCs w:val="21"/>
              </w:rPr>
            </w:pPr>
            <w:r w:rsidRPr="00324CDE">
              <w:rPr>
                <w:rFonts w:ascii="Calibri" w:hAnsi="Calibri" w:cs="Calibri"/>
                <w:sz w:val="21"/>
                <w:szCs w:val="21"/>
                <w:highlight w:val="yellow"/>
              </w:rPr>
              <w:t>The RAN1 agreement from Feb meeting:</w:t>
            </w:r>
            <w:r w:rsidRPr="00324CDE">
              <w:rPr>
                <w:rFonts w:ascii="Calibri" w:hAnsi="Calibri" w:cs="Calibri"/>
                <w:sz w:val="21"/>
                <w:szCs w:val="21"/>
              </w:rPr>
              <w:t> </w:t>
            </w:r>
          </w:p>
          <w:p w14:paraId="7DAF6E6F" w14:textId="77777777" w:rsidR="00B64275" w:rsidRPr="00324CDE" w:rsidRDefault="00B64275" w:rsidP="00213E7E">
            <w:pPr>
              <w:pStyle w:val="NormalWeb"/>
              <w:spacing w:before="0" w:beforeAutospacing="0" w:after="160" w:afterAutospacing="0"/>
              <w:rPr>
                <w:rFonts w:ascii="Calibri" w:hAnsi="Calibri" w:cs="Calibri"/>
                <w:sz w:val="21"/>
                <w:szCs w:val="21"/>
              </w:rPr>
            </w:pPr>
            <w:r w:rsidRPr="00324CDE">
              <w:rPr>
                <w:rFonts w:ascii="Calibri" w:hAnsi="Calibri" w:cs="Calibri"/>
                <w:b/>
                <w:bCs/>
                <w:sz w:val="21"/>
                <w:szCs w:val="21"/>
              </w:rPr>
              <w:t>Agreement</w:t>
            </w:r>
          </w:p>
          <w:p w14:paraId="4E2C8100" w14:textId="77777777" w:rsidR="00B64275" w:rsidRPr="00324CDE" w:rsidRDefault="00B64275" w:rsidP="00213E7E">
            <w:pPr>
              <w:pStyle w:val="NormalWeb"/>
              <w:spacing w:before="0" w:beforeAutospacing="0" w:after="160" w:afterAutospacing="0"/>
              <w:rPr>
                <w:rFonts w:ascii="Calibri" w:hAnsi="Calibri" w:cs="Calibri"/>
                <w:sz w:val="21"/>
                <w:szCs w:val="21"/>
              </w:rPr>
            </w:pPr>
            <w:r w:rsidRPr="00324CDE">
              <w:rPr>
                <w:rFonts w:ascii="Calibri" w:hAnsi="Calibri" w:cs="Calibri"/>
                <w:sz w:val="21"/>
                <w:szCs w:val="21"/>
              </w:rPr>
              <w:t>Support SBFD operation on one TDD carrier in multi-carrier scenario.</w:t>
            </w:r>
          </w:p>
          <w:p w14:paraId="1C5DAD67" w14:textId="77777777" w:rsidR="00B64275" w:rsidRPr="00324CDE" w:rsidRDefault="00B64275" w:rsidP="606B9295">
            <w:pPr>
              <w:pStyle w:val="NormalWeb"/>
              <w:numPr>
                <w:ilvl w:val="0"/>
                <w:numId w:val="110"/>
              </w:numPr>
              <w:spacing w:before="0" w:beforeAutospacing="0" w:after="160" w:afterAutospacing="0"/>
              <w:rPr>
                <w:rFonts w:ascii="Calibri" w:hAnsi="Calibri" w:cs="Calibri"/>
                <w:sz w:val="21"/>
                <w:szCs w:val="21"/>
              </w:rPr>
            </w:pPr>
            <w:r w:rsidRPr="606B9295">
              <w:rPr>
                <w:rFonts w:ascii="Calibri" w:hAnsi="Calibri" w:cs="Calibri"/>
                <w:sz w:val="21"/>
                <w:szCs w:val="21"/>
              </w:rPr>
              <w:t>Note: If the TDD carrier for SBFD operation is an Scell, support UE dedicated signaling for cell-specific configuration of time and frequency location of SBFD subbands for the Scell.</w:t>
            </w:r>
          </w:p>
          <w:p w14:paraId="50D1F812" w14:textId="77777777" w:rsidR="00B64275" w:rsidRPr="00324CDE" w:rsidRDefault="00B64275" w:rsidP="00B64275">
            <w:pPr>
              <w:pStyle w:val="NormalWeb"/>
              <w:numPr>
                <w:ilvl w:val="0"/>
                <w:numId w:val="110"/>
              </w:numPr>
              <w:spacing w:before="0" w:beforeAutospacing="0" w:after="160" w:afterAutospacing="0"/>
              <w:rPr>
                <w:rFonts w:ascii="Calibri" w:hAnsi="Calibri" w:cs="Calibri"/>
                <w:sz w:val="21"/>
                <w:szCs w:val="21"/>
              </w:rPr>
            </w:pPr>
            <w:r w:rsidRPr="00324CDE">
              <w:rPr>
                <w:rFonts w:ascii="Calibri" w:hAnsi="Calibri" w:cs="Calibri"/>
                <w:sz w:val="21"/>
                <w:szCs w:val="21"/>
              </w:rPr>
              <w:t>FFS whether/how to handle half-duplex CA case</w:t>
            </w:r>
          </w:p>
        </w:tc>
      </w:tr>
    </w:tbl>
    <w:p w14:paraId="427F4C40" w14:textId="77777777" w:rsidR="00B64275" w:rsidRDefault="00B64275" w:rsidP="00B64275">
      <w:pPr>
        <w:rPr>
          <w:rFonts w:cstheme="minorHAnsi"/>
        </w:rPr>
      </w:pPr>
    </w:p>
    <w:p w14:paraId="276D7ADD" w14:textId="2311C0C0" w:rsidR="00E441B0" w:rsidRPr="00E441B0" w:rsidRDefault="00E441B0" w:rsidP="00324CDE">
      <w:pPr>
        <w:pStyle w:val="RAN4proposal"/>
        <w:ind w:left="0" w:firstLine="0"/>
        <w:rPr>
          <w:rFonts w:cstheme="minorHAnsi"/>
          <w:lang w:eastAsia="zh-CN"/>
        </w:rPr>
      </w:pPr>
      <w:bookmarkStart w:id="18" w:name="_Toc206141194"/>
      <w:r>
        <w:rPr>
          <w:rFonts w:cstheme="minorHAnsi" w:hint="eastAsia"/>
          <w:lang w:eastAsia="zh-CN"/>
        </w:rPr>
        <w:t xml:space="preserve">RAN4 </w:t>
      </w:r>
      <w:r w:rsidRPr="00324CDE">
        <w:t>to</w:t>
      </w:r>
      <w:r>
        <w:rPr>
          <w:rFonts w:cstheme="minorHAnsi" w:hint="eastAsia"/>
          <w:lang w:eastAsia="zh-CN"/>
        </w:rPr>
        <w:t xml:space="preserve"> define the SCell </w:t>
      </w:r>
      <w:r>
        <w:rPr>
          <w:rFonts w:cstheme="minorHAnsi"/>
          <w:lang w:eastAsia="zh-CN"/>
        </w:rPr>
        <w:t>activation</w:t>
      </w:r>
      <w:r>
        <w:rPr>
          <w:rFonts w:cstheme="minorHAnsi" w:hint="eastAsia"/>
          <w:lang w:eastAsia="zh-CN"/>
        </w:rPr>
        <w:t xml:space="preserve"> delay for activating a SBFD SCell.</w:t>
      </w:r>
      <w:bookmarkEnd w:id="18"/>
      <w:r>
        <w:rPr>
          <w:rFonts w:cstheme="minorHAnsi" w:hint="eastAsia"/>
          <w:lang w:eastAsia="zh-CN"/>
        </w:rPr>
        <w:t xml:space="preserve"> </w:t>
      </w:r>
    </w:p>
    <w:p w14:paraId="10AB74FD" w14:textId="77777777" w:rsidR="00F3095C" w:rsidRDefault="00EA2469" w:rsidP="00B64275">
      <w:pPr>
        <w:rPr>
          <w:rFonts w:cstheme="minorHAnsi"/>
        </w:rPr>
      </w:pPr>
      <w:r>
        <w:rPr>
          <w:rFonts w:cstheme="minorHAnsi"/>
        </w:rPr>
        <w:t xml:space="preserve">In existing specification, we have defined the SCell activation delay for activating a downlink only SCell in TS 38.133 clause 8.3.2 and the SCell activation for activating a PUCCH SCell </w:t>
      </w:r>
      <w:r w:rsidR="00DC7607">
        <w:rPr>
          <w:rFonts w:cstheme="minorHAnsi"/>
        </w:rPr>
        <w:t>in TS 38.133 clause 8.3.</w:t>
      </w:r>
      <w:r w:rsidR="00F3095C">
        <w:rPr>
          <w:rFonts w:cstheme="minorHAnsi"/>
        </w:rPr>
        <w:t>7</w:t>
      </w:r>
      <w:r w:rsidR="00DC7607">
        <w:rPr>
          <w:rFonts w:cstheme="minorHAnsi"/>
        </w:rPr>
        <w:t xml:space="preserve">. </w:t>
      </w:r>
      <w:r w:rsidR="00F3095C">
        <w:rPr>
          <w:rFonts w:cstheme="minorHAnsi"/>
        </w:rPr>
        <w:t xml:space="preserve">The difference between the two is the UE needs to additionally activate the uplink for transmitting PUCCH on the PUCCH SCell hence additional procedures may be needed including random access procedure, PL-RS measurement etc. </w:t>
      </w:r>
    </w:p>
    <w:p w14:paraId="7E473E38" w14:textId="41002240" w:rsidR="0020094E" w:rsidRDefault="009D19E1" w:rsidP="00B64275">
      <w:pPr>
        <w:rPr>
          <w:rFonts w:cstheme="minorHAnsi"/>
        </w:rPr>
      </w:pPr>
      <w:r>
        <w:rPr>
          <w:rFonts w:cstheme="minorHAnsi" w:hint="eastAsia"/>
          <w:lang w:eastAsia="zh-CN"/>
        </w:rPr>
        <w:t xml:space="preserve">When activating a </w:t>
      </w:r>
      <w:r w:rsidR="00FC6247">
        <w:rPr>
          <w:rFonts w:cstheme="minorHAnsi"/>
        </w:rPr>
        <w:t xml:space="preserve">SBFD SCell, </w:t>
      </w:r>
      <w:r>
        <w:rPr>
          <w:rFonts w:cstheme="minorHAnsi" w:hint="eastAsia"/>
          <w:lang w:eastAsia="zh-CN"/>
        </w:rPr>
        <w:t>the</w:t>
      </w:r>
      <w:r w:rsidR="00FC6247">
        <w:rPr>
          <w:rFonts w:cstheme="minorHAnsi"/>
        </w:rPr>
        <w:t xml:space="preserve"> SBFD SCell </w:t>
      </w:r>
      <w:r w:rsidR="008C2E8F">
        <w:rPr>
          <w:rFonts w:cstheme="minorHAnsi"/>
        </w:rPr>
        <w:t xml:space="preserve">is configured </w:t>
      </w:r>
      <w:r w:rsidR="00EF5889">
        <w:rPr>
          <w:rFonts w:cstheme="minorHAnsi" w:hint="eastAsia"/>
          <w:lang w:eastAsia="zh-CN"/>
        </w:rPr>
        <w:t>with</w:t>
      </w:r>
      <w:r w:rsidR="00EF5889">
        <w:rPr>
          <w:rFonts w:cstheme="minorHAnsi" w:hint="eastAsia"/>
        </w:rPr>
        <w:t xml:space="preserve"> both DL and UL </w:t>
      </w:r>
      <w:r w:rsidR="00EF5889">
        <w:rPr>
          <w:rFonts w:cstheme="minorHAnsi" w:hint="eastAsia"/>
          <w:lang w:eastAsia="zh-CN"/>
        </w:rPr>
        <w:t>subbands</w:t>
      </w:r>
      <w:r w:rsidR="009A4134">
        <w:rPr>
          <w:rFonts w:cstheme="minorHAnsi"/>
        </w:rPr>
        <w:t xml:space="preserve">. </w:t>
      </w:r>
      <w:r>
        <w:rPr>
          <w:rFonts w:cstheme="minorHAnsi" w:hint="eastAsia"/>
          <w:lang w:eastAsia="zh-CN"/>
        </w:rPr>
        <w:t xml:space="preserve">Even PUCCH is not configured on the SBFD SCell, the network is expecting to schedule both DL and UL transmission </w:t>
      </w:r>
      <w:r w:rsidR="00882D98">
        <w:rPr>
          <w:rFonts w:cstheme="minorHAnsi" w:hint="eastAsia"/>
          <w:lang w:eastAsia="zh-CN"/>
        </w:rPr>
        <w:t xml:space="preserve">on the SBFD SCell once it is activated. </w:t>
      </w:r>
      <w:r w:rsidR="00005445">
        <w:rPr>
          <w:rFonts w:cstheme="minorHAnsi" w:hint="eastAsia"/>
          <w:lang w:eastAsia="zh-CN"/>
        </w:rPr>
        <w:t>Otherwise,</w:t>
      </w:r>
      <w:r w:rsidR="00EE12B3">
        <w:rPr>
          <w:rFonts w:cstheme="minorHAnsi" w:hint="eastAsia"/>
          <w:lang w:eastAsia="zh-CN"/>
        </w:rPr>
        <w:t xml:space="preserve"> if SBFD SCell is activated as a downlink only SCell,</w:t>
      </w:r>
      <w:r w:rsidR="00005445">
        <w:rPr>
          <w:rFonts w:cstheme="minorHAnsi" w:hint="eastAsia"/>
          <w:lang w:eastAsia="zh-CN"/>
        </w:rPr>
        <w:t xml:space="preserve"> the resource on the UL subband </w:t>
      </w:r>
      <w:r w:rsidR="00EE12B3">
        <w:rPr>
          <w:rFonts w:cstheme="minorHAnsi" w:hint="eastAsia"/>
          <w:lang w:eastAsia="zh-CN"/>
        </w:rPr>
        <w:t>would be wasted</w:t>
      </w:r>
      <w:r w:rsidR="00005445">
        <w:rPr>
          <w:rFonts w:cstheme="minorHAnsi" w:hint="eastAsia"/>
          <w:lang w:eastAsia="zh-CN"/>
        </w:rPr>
        <w:t xml:space="preserve">. </w:t>
      </w:r>
      <w:r w:rsidR="00882D98">
        <w:rPr>
          <w:rFonts w:cstheme="minorHAnsi" w:hint="eastAsia"/>
          <w:lang w:eastAsia="zh-CN"/>
        </w:rPr>
        <w:t xml:space="preserve">Therefore, we are expecting the SBFD SCell </w:t>
      </w:r>
      <w:r w:rsidR="001460F4">
        <w:rPr>
          <w:rFonts w:cstheme="minorHAnsi" w:hint="eastAsia"/>
          <w:lang w:eastAsia="zh-CN"/>
        </w:rPr>
        <w:t>can</w:t>
      </w:r>
      <w:r w:rsidR="00EE12B3">
        <w:rPr>
          <w:rFonts w:cstheme="minorHAnsi" w:hint="eastAsia"/>
          <w:lang w:eastAsia="zh-CN"/>
        </w:rPr>
        <w:t xml:space="preserve"> be</w:t>
      </w:r>
      <w:r w:rsidR="00882D98">
        <w:rPr>
          <w:rFonts w:cstheme="minorHAnsi" w:hint="eastAsia"/>
          <w:lang w:eastAsia="zh-CN"/>
        </w:rPr>
        <w:t xml:space="preserve"> activated on both DL and UL subbands</w:t>
      </w:r>
      <w:r w:rsidR="00EE12B3">
        <w:rPr>
          <w:rFonts w:cstheme="minorHAnsi" w:hint="eastAsia"/>
          <w:lang w:eastAsia="zh-CN"/>
        </w:rPr>
        <w:t xml:space="preserve"> </w:t>
      </w:r>
      <w:r w:rsidR="001D4447">
        <w:rPr>
          <w:rFonts w:cstheme="minorHAnsi"/>
          <w:lang w:eastAsia="zh-CN"/>
        </w:rPr>
        <w:t>in the</w:t>
      </w:r>
      <w:r w:rsidR="001D4447">
        <w:rPr>
          <w:rFonts w:cstheme="minorHAnsi" w:hint="eastAsia"/>
          <w:lang w:eastAsia="zh-CN"/>
        </w:rPr>
        <w:t xml:space="preserve"> SCell activation procedure</w:t>
      </w:r>
      <w:r w:rsidR="00850AD7">
        <w:rPr>
          <w:rFonts w:cstheme="minorHAnsi" w:hint="eastAsia"/>
          <w:lang w:eastAsia="zh-CN"/>
        </w:rPr>
        <w:t xml:space="preserve">. RAN4 shall discuss </w:t>
      </w:r>
      <w:r w:rsidR="00056C60">
        <w:rPr>
          <w:rFonts w:cstheme="minorHAnsi" w:hint="eastAsia"/>
          <w:lang w:eastAsia="zh-CN"/>
        </w:rPr>
        <w:t xml:space="preserve">if and </w:t>
      </w:r>
      <w:r w:rsidR="00850AD7">
        <w:rPr>
          <w:rFonts w:cstheme="minorHAnsi" w:hint="eastAsia"/>
          <w:lang w:eastAsia="zh-CN"/>
        </w:rPr>
        <w:t xml:space="preserve">how to activate an SBFD SCell on the UL subbands. </w:t>
      </w:r>
      <w:r w:rsidR="00077A5D">
        <w:rPr>
          <w:rFonts w:cstheme="minorHAnsi"/>
          <w:lang w:eastAsia="zh-CN"/>
        </w:rPr>
        <w:t xml:space="preserve">An example draft CR is provided in [4] in line with the proposal. </w:t>
      </w:r>
    </w:p>
    <w:p w14:paraId="539F3744" w14:textId="18735007" w:rsidR="00B64275" w:rsidRPr="00324CDE" w:rsidRDefault="00056C60" w:rsidP="00324CDE">
      <w:pPr>
        <w:pStyle w:val="RAN4proposal"/>
        <w:ind w:left="0" w:firstLine="0"/>
        <w:rPr>
          <w:lang w:eastAsia="zh-CN"/>
        </w:rPr>
      </w:pPr>
      <w:bookmarkStart w:id="19" w:name="_Toc206141195"/>
      <w:r>
        <w:rPr>
          <w:rFonts w:cstheme="minorHAnsi" w:hint="eastAsia"/>
          <w:lang w:eastAsia="zh-CN"/>
        </w:rPr>
        <w:t>RAN4 to</w:t>
      </w:r>
      <w:r w:rsidR="00F05EBF">
        <w:rPr>
          <w:rFonts w:cstheme="minorHAnsi"/>
          <w:lang w:eastAsia="zh-CN"/>
        </w:rPr>
        <w:t xml:space="preserve"> agree that </w:t>
      </w:r>
      <w:r w:rsidR="00016836">
        <w:rPr>
          <w:rFonts w:cstheme="minorHAnsi" w:hint="eastAsia"/>
          <w:lang w:eastAsia="zh-CN"/>
        </w:rPr>
        <w:t xml:space="preserve">SBFD SCell </w:t>
      </w:r>
      <w:r w:rsidR="00F11D79">
        <w:rPr>
          <w:rFonts w:cstheme="minorHAnsi"/>
          <w:lang w:eastAsia="zh-CN"/>
        </w:rPr>
        <w:t>sh</w:t>
      </w:r>
      <w:r w:rsidR="00F05EBF">
        <w:rPr>
          <w:rFonts w:cstheme="minorHAnsi"/>
          <w:lang w:eastAsia="zh-CN"/>
        </w:rPr>
        <w:t>all</w:t>
      </w:r>
      <w:r w:rsidR="00016836">
        <w:rPr>
          <w:rFonts w:cstheme="minorHAnsi" w:hint="eastAsia"/>
          <w:lang w:eastAsia="zh-CN"/>
        </w:rPr>
        <w:t xml:space="preserve"> be activated on both DL and UL subbands</w:t>
      </w:r>
      <w:r w:rsidR="00F05EBF">
        <w:rPr>
          <w:rFonts w:cstheme="minorHAnsi"/>
          <w:lang w:eastAsia="zh-CN"/>
        </w:rPr>
        <w:t xml:space="preserve"> during SCell activation procedure.</w:t>
      </w:r>
      <w:bookmarkEnd w:id="19"/>
      <w:r w:rsidR="00F05EBF">
        <w:rPr>
          <w:rFonts w:cstheme="minorHAnsi"/>
          <w:lang w:eastAsia="zh-CN"/>
        </w:rPr>
        <w:t xml:space="preserve"> </w:t>
      </w:r>
    </w:p>
    <w:p w14:paraId="6859B6A8" w14:textId="77777777" w:rsidR="00CD7492" w:rsidRPr="00585E5D" w:rsidRDefault="00CD7492" w:rsidP="00A37002">
      <w:pPr>
        <w:pStyle w:val="RAN4H1"/>
        <w:rPr>
          <w:lang w:val="en-US"/>
        </w:rPr>
      </w:pPr>
      <w:r w:rsidRPr="00585E5D">
        <w:rPr>
          <w:lang w:val="en-US"/>
        </w:rPr>
        <w:t>Conclusion</w:t>
      </w:r>
      <w:bookmarkEnd w:id="15"/>
    </w:p>
    <w:p w14:paraId="54C1326F" w14:textId="77777777" w:rsidR="00381F95" w:rsidRDefault="00381F95" w:rsidP="00936159">
      <w:pPr>
        <w:rPr>
          <w:lang w:val="en-US"/>
        </w:rPr>
      </w:pPr>
      <w:r w:rsidRPr="00585E5D">
        <w:rPr>
          <w:lang w:val="en-US"/>
        </w:rPr>
        <w:t>T</w:t>
      </w:r>
      <w:r w:rsidR="005B4801" w:rsidRPr="00585E5D">
        <w:rPr>
          <w:lang w:val="en-US"/>
        </w:rPr>
        <w:t xml:space="preserve">he following Observations </w:t>
      </w:r>
      <w:r w:rsidR="008B0961" w:rsidRPr="00585E5D">
        <w:rPr>
          <w:lang w:val="en-US"/>
        </w:rPr>
        <w:t>and</w:t>
      </w:r>
      <w:r w:rsidR="005B4801" w:rsidRPr="00585E5D">
        <w:rPr>
          <w:lang w:val="en-US"/>
        </w:rPr>
        <w:t xml:space="preserve"> Proposals were made:</w:t>
      </w:r>
    </w:p>
    <w:bookmarkStart w:id="20" w:name="_Toc116995849"/>
    <w:p w14:paraId="17A949F1" w14:textId="77777777" w:rsidR="00F950D7" w:rsidRDefault="00F950D7">
      <w:pPr>
        <w:pStyle w:val="TOC1"/>
        <w:rPr>
          <w:rFonts w:asciiTheme="minorHAnsi" w:hAnsiTheme="minorHAnsi"/>
          <w:b w:val="0"/>
          <w:kern w:val="2"/>
          <w:sz w:val="24"/>
          <w:szCs w:val="24"/>
          <w14:ligatures w14:val="standardContextual"/>
        </w:rPr>
      </w:pPr>
      <w:r>
        <w:rPr>
          <w:highlight w:val="yellow"/>
          <w:lang w:val="en-US"/>
        </w:rPr>
        <w:fldChar w:fldCharType="begin"/>
      </w:r>
      <w:r>
        <w:rPr>
          <w:highlight w:val="yellow"/>
          <w:lang w:val="en-US"/>
        </w:rPr>
        <w:instrText xml:space="preserve"> TOC \n \t "RAN4 proposal,1,RAN4 observation,1" </w:instrText>
      </w:r>
      <w:r>
        <w:rPr>
          <w:highlight w:val="yellow"/>
          <w:lang w:val="en-US"/>
        </w:rPr>
        <w:fldChar w:fldCharType="separate"/>
      </w:r>
      <w:r w:rsidRPr="00A0494A">
        <w:rPr>
          <w:lang w:val="en-US" w:eastAsia="zh-CN"/>
        </w:rPr>
        <w:t xml:space="preserve">Observation 1: </w:t>
      </w:r>
      <w:r w:rsidRPr="00127D59">
        <w:rPr>
          <w:b w:val="0"/>
          <w:bCs/>
          <w:lang w:val="en-US" w:eastAsia="zh-CN"/>
        </w:rPr>
        <w:t>For Case 3, the relaxed accuracy based on 24 PRB was adopted because some UEs were not able to measure and decode the CSI-RS resource in 2 DL subbands.</w:t>
      </w:r>
    </w:p>
    <w:p w14:paraId="54866ADB" w14:textId="77777777" w:rsidR="00F950D7" w:rsidRDefault="00F950D7">
      <w:pPr>
        <w:pStyle w:val="TOC1"/>
        <w:rPr>
          <w:rFonts w:asciiTheme="minorHAnsi" w:hAnsiTheme="minorHAnsi"/>
          <w:b w:val="0"/>
          <w:kern w:val="2"/>
          <w:sz w:val="24"/>
          <w:szCs w:val="24"/>
          <w14:ligatures w14:val="standardContextual"/>
        </w:rPr>
      </w:pPr>
      <w:r w:rsidRPr="00A0494A">
        <w:rPr>
          <w:lang w:val="en-US" w:eastAsia="zh-CN"/>
        </w:rPr>
        <w:t xml:space="preserve">Observation 2: </w:t>
      </w:r>
      <w:r w:rsidRPr="00127D59">
        <w:rPr>
          <w:b w:val="0"/>
          <w:bCs/>
          <w:lang w:val="en-US" w:eastAsia="zh-CN"/>
        </w:rPr>
        <w:t>According to RAN1 discussion on UE capability, a UE supporting DL reception on two DL subbands shall be able to measure CSI-RS resources on two DL subbands.</w:t>
      </w:r>
    </w:p>
    <w:p w14:paraId="43BE3843" w14:textId="77777777" w:rsidR="00F950D7" w:rsidRDefault="00F950D7">
      <w:pPr>
        <w:pStyle w:val="TOC1"/>
        <w:rPr>
          <w:rFonts w:asciiTheme="minorHAnsi" w:hAnsiTheme="minorHAnsi"/>
          <w:b w:val="0"/>
          <w:kern w:val="2"/>
          <w:sz w:val="24"/>
          <w:szCs w:val="24"/>
          <w14:ligatures w14:val="standardContextual"/>
        </w:rPr>
      </w:pPr>
      <w:r w:rsidRPr="00A0494A">
        <w:rPr>
          <w:lang w:val="en-US" w:eastAsia="zh-CN"/>
        </w:rPr>
        <w:t>Proposal 1: The relaxed accuracy requirements based on 24 RB for Case 3 applies only if UE does not support DL reception in two DL subbands in SBFD symbols.</w:t>
      </w:r>
    </w:p>
    <w:p w14:paraId="738140F9" w14:textId="77777777" w:rsidR="00F950D7" w:rsidRDefault="00F950D7">
      <w:pPr>
        <w:pStyle w:val="TOC1"/>
        <w:rPr>
          <w:rFonts w:asciiTheme="minorHAnsi" w:hAnsiTheme="minorHAnsi"/>
          <w:b w:val="0"/>
          <w:kern w:val="2"/>
          <w:sz w:val="24"/>
          <w:szCs w:val="24"/>
          <w14:ligatures w14:val="standardContextual"/>
        </w:rPr>
      </w:pPr>
      <w:r w:rsidRPr="00A0494A">
        <w:rPr>
          <w:lang w:val="en-US" w:eastAsia="zh-CN"/>
        </w:rPr>
        <w:t xml:space="preserve">Proposal 2: For Case 3, </w:t>
      </w:r>
      <w:r>
        <w:rPr>
          <w:lang w:eastAsia="zh-CN"/>
        </w:rPr>
        <w:t>if UE does not support DL reception in two DL subbands in SBFD symbols, the existing measurement delay shall apply i.e. lower bound is not needed.</w:t>
      </w:r>
    </w:p>
    <w:p w14:paraId="40A67A1B" w14:textId="77777777" w:rsidR="00F950D7" w:rsidRDefault="00F950D7">
      <w:pPr>
        <w:pStyle w:val="TOC1"/>
        <w:rPr>
          <w:rFonts w:asciiTheme="minorHAnsi" w:hAnsiTheme="minorHAnsi"/>
          <w:b w:val="0"/>
          <w:kern w:val="2"/>
          <w:sz w:val="24"/>
          <w:szCs w:val="24"/>
          <w14:ligatures w14:val="standardContextual"/>
        </w:rPr>
      </w:pPr>
      <w:r w:rsidRPr="00A0494A">
        <w:rPr>
          <w:lang w:val="en-US" w:eastAsia="zh-CN"/>
        </w:rPr>
        <w:t>Proposal 3: For Case 3, if UE supports DL reception in 2 DL subbands, a lower bound (if UE indicates the capability) can be introduced to the existing measurement delay but the accuracy performance shall be based on 48 PRBs.</w:t>
      </w:r>
    </w:p>
    <w:p w14:paraId="4DA73C25" w14:textId="77777777" w:rsidR="00F950D7" w:rsidRDefault="00F950D7">
      <w:pPr>
        <w:pStyle w:val="TOC1"/>
        <w:rPr>
          <w:rFonts w:asciiTheme="minorHAnsi" w:hAnsiTheme="minorHAnsi"/>
          <w:b w:val="0"/>
          <w:kern w:val="2"/>
          <w:sz w:val="24"/>
          <w:szCs w:val="24"/>
          <w14:ligatures w14:val="standardContextual"/>
        </w:rPr>
      </w:pPr>
      <w:r w:rsidRPr="00A0494A">
        <w:rPr>
          <w:lang w:val="en-US" w:eastAsia="zh-CN"/>
        </w:rPr>
        <w:t xml:space="preserve">Observation 3: </w:t>
      </w:r>
      <w:r w:rsidRPr="002D628F">
        <w:rPr>
          <w:b w:val="0"/>
          <w:bCs/>
          <w:lang w:val="en-US" w:eastAsia="zh-CN"/>
        </w:rPr>
        <w:t>In NR-U, the UE is not aware, in advance, of the number CCA failure at the gNB side during a measurement period. Lmax has been introduced to avoid that the UE extends the measurement period indefinitely.</w:t>
      </w:r>
    </w:p>
    <w:p w14:paraId="23BB2538" w14:textId="77777777" w:rsidR="00F950D7" w:rsidRDefault="00F950D7">
      <w:pPr>
        <w:pStyle w:val="TOC1"/>
        <w:rPr>
          <w:rFonts w:asciiTheme="minorHAnsi" w:hAnsiTheme="minorHAnsi"/>
          <w:b w:val="0"/>
          <w:kern w:val="2"/>
          <w:sz w:val="24"/>
          <w:szCs w:val="24"/>
          <w14:ligatures w14:val="standardContextual"/>
        </w:rPr>
      </w:pPr>
      <w:r w:rsidRPr="00A0494A">
        <w:rPr>
          <w:lang w:val="en-US" w:eastAsia="zh-CN"/>
        </w:rPr>
        <w:t xml:space="preserve">Observation 4: </w:t>
      </w:r>
      <w:r w:rsidRPr="002D628F">
        <w:rPr>
          <w:b w:val="0"/>
          <w:bCs/>
          <w:lang w:val="en-US" w:eastAsia="zh-CN"/>
        </w:rPr>
        <w:t>In SBFD, both the UE and the gNB are aware of the reference signal configuration and aware of the frame structure, considering the time location of SBFD subbands. There is no uncertainty about the reference signal occasions that overlap with symbols of different types.</w:t>
      </w:r>
    </w:p>
    <w:p w14:paraId="5D8F9DA6" w14:textId="77777777" w:rsidR="00F950D7" w:rsidRDefault="00F950D7">
      <w:pPr>
        <w:pStyle w:val="TOC1"/>
        <w:rPr>
          <w:rFonts w:asciiTheme="minorHAnsi" w:hAnsiTheme="minorHAnsi"/>
          <w:b w:val="0"/>
          <w:kern w:val="2"/>
          <w:sz w:val="24"/>
          <w:szCs w:val="24"/>
          <w14:ligatures w14:val="standardContextual"/>
        </w:rPr>
      </w:pPr>
      <w:r w:rsidRPr="00A0494A">
        <w:rPr>
          <w:lang w:val="en-US" w:eastAsia="zh-CN"/>
        </w:rPr>
        <w:t>Proposal 4: Do not define Lmax values in the extension of the L1-RSRP and L1-SINR measurement periods.</w:t>
      </w:r>
    </w:p>
    <w:p w14:paraId="699FCE02" w14:textId="77777777" w:rsidR="00F950D7" w:rsidRDefault="00F950D7">
      <w:pPr>
        <w:pStyle w:val="TOC1"/>
        <w:rPr>
          <w:rFonts w:asciiTheme="minorHAnsi" w:hAnsiTheme="minorHAnsi"/>
          <w:b w:val="0"/>
          <w:kern w:val="2"/>
          <w:sz w:val="24"/>
          <w:szCs w:val="24"/>
          <w14:ligatures w14:val="standardContextual"/>
        </w:rPr>
      </w:pPr>
      <w:r>
        <w:t>Proposal 5: The requirements for 4-step RA type in clause 6.2.2.2 are updated to take into account the RO-type change procedure on RO type selection from legacy RO to additional RO in SBFD symbols, and the RO type selection from additional RO to legacy RO, as agreed in RAN2. The exact update can be discussed during the CR drafting.</w:t>
      </w:r>
    </w:p>
    <w:p w14:paraId="32AF015D" w14:textId="77777777" w:rsidR="00F950D7" w:rsidRDefault="00F950D7">
      <w:pPr>
        <w:pStyle w:val="TOC1"/>
        <w:rPr>
          <w:rFonts w:asciiTheme="minorHAnsi" w:hAnsiTheme="minorHAnsi"/>
          <w:b w:val="0"/>
          <w:kern w:val="2"/>
          <w:sz w:val="24"/>
          <w:szCs w:val="24"/>
          <w14:ligatures w14:val="standardContextual"/>
        </w:rPr>
      </w:pPr>
      <w:r w:rsidRPr="00A0494A">
        <w:rPr>
          <w:rFonts w:cstheme="minorHAnsi"/>
          <w:lang w:eastAsia="zh-CN"/>
        </w:rPr>
        <w:t xml:space="preserve">Proposal 6: RAN4 </w:t>
      </w:r>
      <w:r>
        <w:t>to</w:t>
      </w:r>
      <w:r w:rsidRPr="00A0494A">
        <w:rPr>
          <w:rFonts w:cstheme="minorHAnsi"/>
          <w:lang w:eastAsia="zh-CN"/>
        </w:rPr>
        <w:t xml:space="preserve"> define the SCell activation delay for activating a SBFD SCell.</w:t>
      </w:r>
    </w:p>
    <w:p w14:paraId="7ED41011" w14:textId="77777777" w:rsidR="00F950D7" w:rsidRDefault="00F950D7">
      <w:pPr>
        <w:pStyle w:val="TOC1"/>
        <w:rPr>
          <w:rFonts w:asciiTheme="minorHAnsi" w:hAnsiTheme="minorHAnsi"/>
          <w:b w:val="0"/>
          <w:kern w:val="2"/>
          <w:sz w:val="24"/>
          <w:szCs w:val="24"/>
          <w14:ligatures w14:val="standardContextual"/>
        </w:rPr>
      </w:pPr>
      <w:r>
        <w:rPr>
          <w:lang w:eastAsia="zh-CN"/>
        </w:rPr>
        <w:t>Proposal 7:</w:t>
      </w:r>
      <w:r w:rsidRPr="00A0494A">
        <w:rPr>
          <w:rFonts w:cstheme="minorHAnsi"/>
          <w:lang w:eastAsia="zh-CN"/>
        </w:rPr>
        <w:t xml:space="preserve"> RAN4 to agree that SBFD SCell shall be activated on both DL and UL subbands during SCell activation procedure.</w:t>
      </w:r>
    </w:p>
    <w:p w14:paraId="074C8A8A" w14:textId="287960BA" w:rsidR="003B659E" w:rsidRPr="00585E5D" w:rsidRDefault="00F950D7" w:rsidP="0060543D">
      <w:pPr>
        <w:pStyle w:val="RAN4H1"/>
        <w:numPr>
          <w:ilvl w:val="0"/>
          <w:numId w:val="0"/>
        </w:numPr>
        <w:ind w:left="360" w:hanging="360"/>
        <w:rPr>
          <w:lang w:val="en-US"/>
        </w:rPr>
      </w:pPr>
      <w:r>
        <w:rPr>
          <w:rFonts w:ascii="Times New Roman" w:eastAsiaTheme="minorEastAsia" w:hAnsi="Times New Roman" w:cstheme="minorBidi"/>
          <w:sz w:val="20"/>
          <w:szCs w:val="22"/>
          <w:highlight w:val="yellow"/>
          <w:lang w:val="en-US"/>
        </w:rPr>
        <w:fldChar w:fldCharType="end"/>
      </w:r>
      <w:r w:rsidR="003B659E" w:rsidRPr="00585E5D">
        <w:rPr>
          <w:lang w:val="en-US"/>
        </w:rPr>
        <w:t>References</w:t>
      </w:r>
      <w:bookmarkEnd w:id="20"/>
    </w:p>
    <w:p w14:paraId="07054FD0" w14:textId="209E435F" w:rsidR="009133AE" w:rsidRPr="00324CDE" w:rsidRDefault="009133AE" w:rsidP="00E43BF9">
      <w:pPr>
        <w:pStyle w:val="ListParagraph"/>
        <w:numPr>
          <w:ilvl w:val="0"/>
          <w:numId w:val="22"/>
        </w:numPr>
        <w:ind w:right="-22"/>
      </w:pPr>
      <w:r w:rsidRPr="606B9295">
        <w:t>R4-2508274, WF on RRM requirements for NR_duplex_evo, RAN4#115 Huawei</w:t>
      </w:r>
    </w:p>
    <w:p w14:paraId="5882319F" w14:textId="359DEFCD" w:rsidR="00E43BF9" w:rsidRDefault="00581D70" w:rsidP="00E43BF9">
      <w:pPr>
        <w:pStyle w:val="ListParagraph"/>
        <w:numPr>
          <w:ilvl w:val="0"/>
          <w:numId w:val="22"/>
        </w:numPr>
        <w:ind w:right="-22"/>
        <w:rPr>
          <w:lang w:val="en-US"/>
        </w:rPr>
      </w:pPr>
      <w:r w:rsidRPr="00581D70">
        <w:rPr>
          <w:lang w:val="en-US"/>
        </w:rPr>
        <w:t>R4-250</w:t>
      </w:r>
      <w:r w:rsidR="00CD55D5">
        <w:rPr>
          <w:rFonts w:hint="eastAsia"/>
          <w:lang w:val="en-US" w:eastAsia="zh-CN"/>
        </w:rPr>
        <w:t>4904</w:t>
      </w:r>
      <w:r w:rsidR="00EC5FEA">
        <w:rPr>
          <w:lang w:val="en-US"/>
        </w:rPr>
        <w:t>,</w:t>
      </w:r>
      <w:r w:rsidRPr="00581D70">
        <w:rPr>
          <w:lang w:val="en-US"/>
        </w:rPr>
        <w:t xml:space="preserve"> WF on SBFD RRM</w:t>
      </w:r>
      <w:r>
        <w:rPr>
          <w:lang w:val="en-US"/>
        </w:rPr>
        <w:t>, Huawei</w:t>
      </w:r>
    </w:p>
    <w:p w14:paraId="1FB2A4CB" w14:textId="7AD4FFEE" w:rsidR="007C6DC9" w:rsidRDefault="007C6DC9" w:rsidP="00E43BF9">
      <w:pPr>
        <w:pStyle w:val="ListParagraph"/>
        <w:numPr>
          <w:ilvl w:val="0"/>
          <w:numId w:val="22"/>
        </w:numPr>
        <w:ind w:right="-22"/>
        <w:rPr>
          <w:lang w:val="en-US"/>
        </w:rPr>
      </w:pPr>
      <w:bookmarkStart w:id="21" w:name="_Ref197336996"/>
      <w:r w:rsidRPr="007C6DC9">
        <w:rPr>
          <w:lang w:val="en-US"/>
        </w:rPr>
        <w:t>R4-250</w:t>
      </w:r>
      <w:r w:rsidR="00CD55D5">
        <w:rPr>
          <w:rFonts w:hint="eastAsia"/>
          <w:lang w:val="en-US" w:eastAsia="zh-CN"/>
        </w:rPr>
        <w:t>3623</w:t>
      </w:r>
      <w:r w:rsidR="00EC5FEA">
        <w:rPr>
          <w:lang w:val="en-US"/>
        </w:rPr>
        <w:t>,</w:t>
      </w:r>
      <w:r w:rsidRPr="007C6DC9">
        <w:rPr>
          <w:lang w:val="en-US"/>
        </w:rPr>
        <w:t xml:space="preserve"> summary [114][222] NR_duplex_evo</w:t>
      </w:r>
      <w:r>
        <w:rPr>
          <w:lang w:val="en-US"/>
        </w:rPr>
        <w:t>, Huawei</w:t>
      </w:r>
      <w:bookmarkEnd w:id="21"/>
    </w:p>
    <w:p w14:paraId="47406261" w14:textId="238DB86B" w:rsidR="00077A5D" w:rsidRPr="00585E5D" w:rsidRDefault="00077A5D" w:rsidP="00E43BF9">
      <w:pPr>
        <w:pStyle w:val="ListParagraph"/>
        <w:numPr>
          <w:ilvl w:val="0"/>
          <w:numId w:val="22"/>
        </w:numPr>
        <w:ind w:right="-22"/>
        <w:rPr>
          <w:lang w:val="en-US"/>
        </w:rPr>
      </w:pPr>
      <w:r>
        <w:rPr>
          <w:lang w:val="en-US"/>
        </w:rPr>
        <w:t>R4-25</w:t>
      </w:r>
      <w:r w:rsidR="00D22C0D">
        <w:rPr>
          <w:lang w:val="en-US"/>
        </w:rPr>
        <w:t xml:space="preserve">09619, </w:t>
      </w:r>
      <w:r w:rsidR="00D22C0D" w:rsidRPr="00D22C0D">
        <w:t>draftCR on core requirements for SBFD operation</w:t>
      </w:r>
      <w:r w:rsidR="00D22C0D">
        <w:t>, Nokia,</w:t>
      </w:r>
      <w:r w:rsidR="00A74E67">
        <w:t xml:space="preserve"> Nokia Shanghai Bell</w:t>
      </w:r>
    </w:p>
    <w:sectPr w:rsidR="00077A5D" w:rsidRPr="00585E5D"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6D290" w14:textId="77777777" w:rsidR="00FD3732" w:rsidRDefault="00FD3732" w:rsidP="00001C9B">
      <w:pPr>
        <w:spacing w:after="0" w:line="240" w:lineRule="auto"/>
      </w:pPr>
      <w:r>
        <w:separator/>
      </w:r>
    </w:p>
  </w:endnote>
  <w:endnote w:type="continuationSeparator" w:id="0">
    <w:p w14:paraId="7D47ED9B" w14:textId="77777777" w:rsidR="00FD3732" w:rsidRDefault="00FD3732" w:rsidP="00001C9B">
      <w:pPr>
        <w:spacing w:after="0" w:line="240" w:lineRule="auto"/>
      </w:pPr>
      <w:r>
        <w:continuationSeparator/>
      </w:r>
    </w:p>
  </w:endnote>
  <w:endnote w:type="continuationNotice" w:id="1">
    <w:p w14:paraId="20FBCA10" w14:textId="77777777" w:rsidR="00FD3732" w:rsidRDefault="00FD37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81727" w14:textId="77777777" w:rsidR="00FD3732" w:rsidRDefault="00FD3732" w:rsidP="00001C9B">
      <w:pPr>
        <w:spacing w:after="0" w:line="240" w:lineRule="auto"/>
      </w:pPr>
      <w:r>
        <w:separator/>
      </w:r>
    </w:p>
  </w:footnote>
  <w:footnote w:type="continuationSeparator" w:id="0">
    <w:p w14:paraId="7080D545" w14:textId="77777777" w:rsidR="00FD3732" w:rsidRDefault="00FD3732" w:rsidP="00001C9B">
      <w:pPr>
        <w:spacing w:after="0" w:line="240" w:lineRule="auto"/>
      </w:pPr>
      <w:r>
        <w:continuationSeparator/>
      </w:r>
    </w:p>
  </w:footnote>
  <w:footnote w:type="continuationNotice" w:id="1">
    <w:p w14:paraId="45C48DBF" w14:textId="77777777" w:rsidR="00FD3732" w:rsidRDefault="00FD373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20CF"/>
    <w:multiLevelType w:val="multilevel"/>
    <w:tmpl w:val="B4A25DA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0E21753"/>
    <w:multiLevelType w:val="multilevel"/>
    <w:tmpl w:val="E0885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964EE"/>
    <w:multiLevelType w:val="multilevel"/>
    <w:tmpl w:val="A896F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4814C6"/>
    <w:multiLevelType w:val="multilevel"/>
    <w:tmpl w:val="657A6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8B00AED"/>
    <w:multiLevelType w:val="multilevel"/>
    <w:tmpl w:val="B5C030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B47558"/>
    <w:multiLevelType w:val="hybridMultilevel"/>
    <w:tmpl w:val="C7F8F726"/>
    <w:lvl w:ilvl="0" w:tplc="A77E001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2960E6"/>
    <w:multiLevelType w:val="multilevel"/>
    <w:tmpl w:val="55FE72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D7329EC"/>
    <w:multiLevelType w:val="multilevel"/>
    <w:tmpl w:val="DD745A3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0DC02459"/>
    <w:multiLevelType w:val="multilevel"/>
    <w:tmpl w:val="421CA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2E47659"/>
    <w:multiLevelType w:val="multilevel"/>
    <w:tmpl w:val="0E789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7596991"/>
    <w:multiLevelType w:val="hybridMultilevel"/>
    <w:tmpl w:val="39BA096A"/>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C0363E5"/>
    <w:multiLevelType w:val="multilevel"/>
    <w:tmpl w:val="49780A6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C412722"/>
    <w:multiLevelType w:val="multilevel"/>
    <w:tmpl w:val="FB1E46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EA5446B"/>
    <w:multiLevelType w:val="multilevel"/>
    <w:tmpl w:val="DBC82A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22A71FD8"/>
    <w:multiLevelType w:val="hybridMultilevel"/>
    <w:tmpl w:val="E69EBE78"/>
    <w:lvl w:ilvl="0" w:tplc="66205EE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22EA29E3"/>
    <w:multiLevelType w:val="multilevel"/>
    <w:tmpl w:val="5A26B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270680"/>
    <w:multiLevelType w:val="multilevel"/>
    <w:tmpl w:val="F3442F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551588A"/>
    <w:multiLevelType w:val="multilevel"/>
    <w:tmpl w:val="E9805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641961B"/>
    <w:multiLevelType w:val="hybridMultilevel"/>
    <w:tmpl w:val="C504A69A"/>
    <w:lvl w:ilvl="0" w:tplc="0F9AEEDC">
      <w:start w:val="1"/>
      <w:numFmt w:val="bullet"/>
      <w:lvlText w:val="-"/>
      <w:lvlJc w:val="left"/>
      <w:pPr>
        <w:ind w:left="720" w:hanging="360"/>
      </w:pPr>
      <w:rPr>
        <w:rFonts w:ascii="Times" w:hAnsi="Times" w:hint="default"/>
      </w:rPr>
    </w:lvl>
    <w:lvl w:ilvl="1" w:tplc="00ECACE8">
      <w:start w:val="1"/>
      <w:numFmt w:val="bullet"/>
      <w:lvlText w:val="o"/>
      <w:lvlJc w:val="left"/>
      <w:pPr>
        <w:ind w:left="1440" w:hanging="360"/>
      </w:pPr>
      <w:rPr>
        <w:rFonts w:ascii="Times" w:hAnsi="Times" w:hint="default"/>
      </w:rPr>
    </w:lvl>
    <w:lvl w:ilvl="2" w:tplc="F2289A1A">
      <w:start w:val="1"/>
      <w:numFmt w:val="bullet"/>
      <w:lvlText w:val=""/>
      <w:lvlJc w:val="left"/>
      <w:pPr>
        <w:ind w:left="2160" w:hanging="360"/>
      </w:pPr>
      <w:rPr>
        <w:rFonts w:ascii="Wingdings" w:hAnsi="Wingdings" w:hint="default"/>
      </w:rPr>
    </w:lvl>
    <w:lvl w:ilvl="3" w:tplc="5EF69B6E">
      <w:start w:val="1"/>
      <w:numFmt w:val="bullet"/>
      <w:lvlText w:val=""/>
      <w:lvlJc w:val="left"/>
      <w:pPr>
        <w:ind w:left="2880" w:hanging="360"/>
      </w:pPr>
      <w:rPr>
        <w:rFonts w:ascii="Symbol" w:hAnsi="Symbol" w:hint="default"/>
      </w:rPr>
    </w:lvl>
    <w:lvl w:ilvl="4" w:tplc="3F5AC264">
      <w:start w:val="1"/>
      <w:numFmt w:val="bullet"/>
      <w:lvlText w:val="o"/>
      <w:lvlJc w:val="left"/>
      <w:pPr>
        <w:ind w:left="3600" w:hanging="360"/>
      </w:pPr>
      <w:rPr>
        <w:rFonts w:ascii="Courier New" w:hAnsi="Courier New" w:hint="default"/>
      </w:rPr>
    </w:lvl>
    <w:lvl w:ilvl="5" w:tplc="F9107350">
      <w:start w:val="1"/>
      <w:numFmt w:val="bullet"/>
      <w:lvlText w:val=""/>
      <w:lvlJc w:val="left"/>
      <w:pPr>
        <w:ind w:left="4320" w:hanging="360"/>
      </w:pPr>
      <w:rPr>
        <w:rFonts w:ascii="Wingdings" w:hAnsi="Wingdings" w:hint="default"/>
      </w:rPr>
    </w:lvl>
    <w:lvl w:ilvl="6" w:tplc="290E6F74">
      <w:start w:val="1"/>
      <w:numFmt w:val="bullet"/>
      <w:lvlText w:val=""/>
      <w:lvlJc w:val="left"/>
      <w:pPr>
        <w:ind w:left="5040" w:hanging="360"/>
      </w:pPr>
      <w:rPr>
        <w:rFonts w:ascii="Symbol" w:hAnsi="Symbol" w:hint="default"/>
      </w:rPr>
    </w:lvl>
    <w:lvl w:ilvl="7" w:tplc="2CE47896">
      <w:start w:val="1"/>
      <w:numFmt w:val="bullet"/>
      <w:lvlText w:val="o"/>
      <w:lvlJc w:val="left"/>
      <w:pPr>
        <w:ind w:left="5760" w:hanging="360"/>
      </w:pPr>
      <w:rPr>
        <w:rFonts w:ascii="Courier New" w:hAnsi="Courier New" w:hint="default"/>
      </w:rPr>
    </w:lvl>
    <w:lvl w:ilvl="8" w:tplc="A4CEED36">
      <w:start w:val="1"/>
      <w:numFmt w:val="bullet"/>
      <w:lvlText w:val=""/>
      <w:lvlJc w:val="left"/>
      <w:pPr>
        <w:ind w:left="6480" w:hanging="360"/>
      </w:pPr>
      <w:rPr>
        <w:rFonts w:ascii="Wingdings" w:hAnsi="Wingdings" w:hint="default"/>
      </w:rPr>
    </w:lvl>
  </w:abstractNum>
  <w:abstractNum w:abstractNumId="26" w15:restartNumberingAfterBreak="0">
    <w:nsid w:val="26AE21F6"/>
    <w:multiLevelType w:val="hybridMultilevel"/>
    <w:tmpl w:val="1E7A8A6C"/>
    <w:lvl w:ilvl="0" w:tplc="BB6A8070">
      <w:start w:val="1"/>
      <w:numFmt w:val="decimal"/>
      <w:lvlText w:val="%1."/>
      <w:lvlJc w:val="left"/>
      <w:pPr>
        <w:ind w:left="1020" w:hanging="360"/>
      </w:pPr>
    </w:lvl>
    <w:lvl w:ilvl="1" w:tplc="C4987834">
      <w:start w:val="1"/>
      <w:numFmt w:val="decimal"/>
      <w:lvlText w:val="%2."/>
      <w:lvlJc w:val="left"/>
      <w:pPr>
        <w:ind w:left="1020" w:hanging="360"/>
      </w:pPr>
    </w:lvl>
    <w:lvl w:ilvl="2" w:tplc="BF5A95DC">
      <w:start w:val="1"/>
      <w:numFmt w:val="decimal"/>
      <w:lvlText w:val="%3."/>
      <w:lvlJc w:val="left"/>
      <w:pPr>
        <w:ind w:left="1020" w:hanging="360"/>
      </w:pPr>
    </w:lvl>
    <w:lvl w:ilvl="3" w:tplc="A306932E">
      <w:start w:val="1"/>
      <w:numFmt w:val="decimal"/>
      <w:lvlText w:val="%4."/>
      <w:lvlJc w:val="left"/>
      <w:pPr>
        <w:ind w:left="1020" w:hanging="360"/>
      </w:pPr>
    </w:lvl>
    <w:lvl w:ilvl="4" w:tplc="D0585A38">
      <w:start w:val="1"/>
      <w:numFmt w:val="decimal"/>
      <w:lvlText w:val="%5."/>
      <w:lvlJc w:val="left"/>
      <w:pPr>
        <w:ind w:left="1020" w:hanging="360"/>
      </w:pPr>
    </w:lvl>
    <w:lvl w:ilvl="5" w:tplc="A50C5056">
      <w:start w:val="1"/>
      <w:numFmt w:val="decimal"/>
      <w:lvlText w:val="%6."/>
      <w:lvlJc w:val="left"/>
      <w:pPr>
        <w:ind w:left="1020" w:hanging="360"/>
      </w:pPr>
    </w:lvl>
    <w:lvl w:ilvl="6" w:tplc="8A0EA558">
      <w:start w:val="1"/>
      <w:numFmt w:val="decimal"/>
      <w:lvlText w:val="%7."/>
      <w:lvlJc w:val="left"/>
      <w:pPr>
        <w:ind w:left="1020" w:hanging="360"/>
      </w:pPr>
    </w:lvl>
    <w:lvl w:ilvl="7" w:tplc="BE22AE90">
      <w:start w:val="1"/>
      <w:numFmt w:val="decimal"/>
      <w:lvlText w:val="%8."/>
      <w:lvlJc w:val="left"/>
      <w:pPr>
        <w:ind w:left="1020" w:hanging="360"/>
      </w:pPr>
    </w:lvl>
    <w:lvl w:ilvl="8" w:tplc="4D8EA670">
      <w:start w:val="1"/>
      <w:numFmt w:val="decimal"/>
      <w:lvlText w:val="%9."/>
      <w:lvlJc w:val="left"/>
      <w:pPr>
        <w:ind w:left="1020" w:hanging="360"/>
      </w:pPr>
    </w:lvl>
  </w:abstractNum>
  <w:abstractNum w:abstractNumId="27" w15:restartNumberingAfterBreak="0">
    <w:nsid w:val="27416F06"/>
    <w:multiLevelType w:val="hybridMultilevel"/>
    <w:tmpl w:val="FFFFFFFF"/>
    <w:lvl w:ilvl="0" w:tplc="1754541C">
      <w:start w:val="1"/>
      <w:numFmt w:val="decimal"/>
      <w:lvlText w:val="%1)"/>
      <w:lvlJc w:val="left"/>
      <w:pPr>
        <w:ind w:left="720" w:hanging="360"/>
      </w:pPr>
    </w:lvl>
    <w:lvl w:ilvl="1" w:tplc="0C8E0734">
      <w:start w:val="1"/>
      <w:numFmt w:val="lowerLetter"/>
      <w:lvlText w:val="%2."/>
      <w:lvlJc w:val="left"/>
      <w:pPr>
        <w:ind w:left="1440" w:hanging="360"/>
      </w:pPr>
    </w:lvl>
    <w:lvl w:ilvl="2" w:tplc="BDF4B032">
      <w:start w:val="1"/>
      <w:numFmt w:val="lowerRoman"/>
      <w:lvlText w:val="%3."/>
      <w:lvlJc w:val="right"/>
      <w:pPr>
        <w:ind w:left="2160" w:hanging="180"/>
      </w:pPr>
    </w:lvl>
    <w:lvl w:ilvl="3" w:tplc="F4A60E46">
      <w:start w:val="1"/>
      <w:numFmt w:val="decimal"/>
      <w:lvlText w:val="%4."/>
      <w:lvlJc w:val="left"/>
      <w:pPr>
        <w:ind w:left="2880" w:hanging="360"/>
      </w:pPr>
    </w:lvl>
    <w:lvl w:ilvl="4" w:tplc="E342DBD8">
      <w:start w:val="1"/>
      <w:numFmt w:val="lowerLetter"/>
      <w:lvlText w:val="%5."/>
      <w:lvlJc w:val="left"/>
      <w:pPr>
        <w:ind w:left="3600" w:hanging="360"/>
      </w:pPr>
    </w:lvl>
    <w:lvl w:ilvl="5" w:tplc="81CC0C48">
      <w:start w:val="1"/>
      <w:numFmt w:val="lowerRoman"/>
      <w:lvlText w:val="%6."/>
      <w:lvlJc w:val="right"/>
      <w:pPr>
        <w:ind w:left="4320" w:hanging="180"/>
      </w:pPr>
    </w:lvl>
    <w:lvl w:ilvl="6" w:tplc="879A81A8">
      <w:start w:val="1"/>
      <w:numFmt w:val="decimal"/>
      <w:lvlText w:val="%7."/>
      <w:lvlJc w:val="left"/>
      <w:pPr>
        <w:ind w:left="5040" w:hanging="360"/>
      </w:pPr>
    </w:lvl>
    <w:lvl w:ilvl="7" w:tplc="AC782030">
      <w:start w:val="1"/>
      <w:numFmt w:val="lowerLetter"/>
      <w:lvlText w:val="%8."/>
      <w:lvlJc w:val="left"/>
      <w:pPr>
        <w:ind w:left="5760" w:hanging="360"/>
      </w:pPr>
    </w:lvl>
    <w:lvl w:ilvl="8" w:tplc="56F4471A">
      <w:start w:val="1"/>
      <w:numFmt w:val="lowerRoman"/>
      <w:lvlText w:val="%9."/>
      <w:lvlJc w:val="right"/>
      <w:pPr>
        <w:ind w:left="6480" w:hanging="180"/>
      </w:pPr>
    </w:lvl>
  </w:abstractNum>
  <w:abstractNum w:abstractNumId="2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A536AFF"/>
    <w:multiLevelType w:val="multilevel"/>
    <w:tmpl w:val="F45867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2A9F4730"/>
    <w:multiLevelType w:val="multilevel"/>
    <w:tmpl w:val="81DA27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2D444888"/>
    <w:multiLevelType w:val="multilevel"/>
    <w:tmpl w:val="783ABB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1B77DA1"/>
    <w:multiLevelType w:val="multilevel"/>
    <w:tmpl w:val="A608ECB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33643279"/>
    <w:multiLevelType w:val="hybridMultilevel"/>
    <w:tmpl w:val="2528C2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80018B6"/>
    <w:multiLevelType w:val="multilevel"/>
    <w:tmpl w:val="821C0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A57486E"/>
    <w:multiLevelType w:val="multilevel"/>
    <w:tmpl w:val="B394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0280CFF"/>
    <w:multiLevelType w:val="multilevel"/>
    <w:tmpl w:val="AAF4C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1755B66"/>
    <w:multiLevelType w:val="multilevel"/>
    <w:tmpl w:val="3684BA1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41E65C8C"/>
    <w:multiLevelType w:val="hybridMultilevel"/>
    <w:tmpl w:val="D4CE9444"/>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43F14049"/>
    <w:multiLevelType w:val="multilevel"/>
    <w:tmpl w:val="DE1C56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624153B"/>
    <w:multiLevelType w:val="multilevel"/>
    <w:tmpl w:val="358A7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6B43B9D"/>
    <w:multiLevelType w:val="hybridMultilevel"/>
    <w:tmpl w:val="D07E2EAE"/>
    <w:lvl w:ilvl="0" w:tplc="A3F22D2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47E84861"/>
    <w:multiLevelType w:val="hybridMultilevel"/>
    <w:tmpl w:val="F5100A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7EF50E0"/>
    <w:multiLevelType w:val="multilevel"/>
    <w:tmpl w:val="D4DEC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8CF6D5E"/>
    <w:multiLevelType w:val="hybridMultilevel"/>
    <w:tmpl w:val="A24E311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4A027FEC"/>
    <w:multiLevelType w:val="multilevel"/>
    <w:tmpl w:val="BEC2A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AC52A96"/>
    <w:multiLevelType w:val="multilevel"/>
    <w:tmpl w:val="F8AA3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1020CA2"/>
    <w:multiLevelType w:val="multilevel"/>
    <w:tmpl w:val="BAEEC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5DD40E0"/>
    <w:multiLevelType w:val="hybridMultilevel"/>
    <w:tmpl w:val="97AE8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67E60FE"/>
    <w:multiLevelType w:val="multilevel"/>
    <w:tmpl w:val="61D808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88F33E2"/>
    <w:multiLevelType w:val="multilevel"/>
    <w:tmpl w:val="278695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5" w15:restartNumberingAfterBreak="0">
    <w:nsid w:val="5952241A"/>
    <w:multiLevelType w:val="hybridMultilevel"/>
    <w:tmpl w:val="D00860F0"/>
    <w:lvl w:ilvl="0" w:tplc="66F64C0A">
      <w:start w:val="1"/>
      <w:numFmt w:val="bullet"/>
      <w:lvlText w:val=""/>
      <w:lvlJc w:val="left"/>
      <w:pPr>
        <w:ind w:left="720" w:hanging="360"/>
      </w:pPr>
      <w:rPr>
        <w:rFonts w:ascii="Symbol" w:hAnsi="Symbol" w:hint="default"/>
      </w:rPr>
    </w:lvl>
    <w:lvl w:ilvl="1" w:tplc="85F806AE">
      <w:start w:val="1"/>
      <w:numFmt w:val="bullet"/>
      <w:lvlText w:val="o"/>
      <w:lvlJc w:val="left"/>
      <w:pPr>
        <w:ind w:left="1440" w:hanging="360"/>
      </w:pPr>
      <w:rPr>
        <w:rFonts w:ascii="Symbol" w:hAnsi="Symbol" w:hint="default"/>
      </w:rPr>
    </w:lvl>
    <w:lvl w:ilvl="2" w:tplc="98B03928">
      <w:start w:val="1"/>
      <w:numFmt w:val="bullet"/>
      <w:lvlText w:val=""/>
      <w:lvlJc w:val="left"/>
      <w:pPr>
        <w:ind w:left="2160" w:hanging="360"/>
      </w:pPr>
      <w:rPr>
        <w:rFonts w:ascii="Wingdings" w:hAnsi="Wingdings" w:hint="default"/>
      </w:rPr>
    </w:lvl>
    <w:lvl w:ilvl="3" w:tplc="FCE69460">
      <w:start w:val="1"/>
      <w:numFmt w:val="bullet"/>
      <w:lvlText w:val=""/>
      <w:lvlJc w:val="left"/>
      <w:pPr>
        <w:ind w:left="2880" w:hanging="360"/>
      </w:pPr>
      <w:rPr>
        <w:rFonts w:ascii="Symbol" w:hAnsi="Symbol" w:hint="default"/>
      </w:rPr>
    </w:lvl>
    <w:lvl w:ilvl="4" w:tplc="D1649B0C">
      <w:start w:val="1"/>
      <w:numFmt w:val="bullet"/>
      <w:lvlText w:val="o"/>
      <w:lvlJc w:val="left"/>
      <w:pPr>
        <w:ind w:left="3600" w:hanging="360"/>
      </w:pPr>
      <w:rPr>
        <w:rFonts w:ascii="Courier New" w:hAnsi="Courier New" w:hint="default"/>
      </w:rPr>
    </w:lvl>
    <w:lvl w:ilvl="5" w:tplc="8CF8AD5E">
      <w:start w:val="1"/>
      <w:numFmt w:val="bullet"/>
      <w:lvlText w:val=""/>
      <w:lvlJc w:val="left"/>
      <w:pPr>
        <w:ind w:left="4320" w:hanging="360"/>
      </w:pPr>
      <w:rPr>
        <w:rFonts w:ascii="Wingdings" w:hAnsi="Wingdings" w:hint="default"/>
      </w:rPr>
    </w:lvl>
    <w:lvl w:ilvl="6" w:tplc="6B1C78FE">
      <w:start w:val="1"/>
      <w:numFmt w:val="bullet"/>
      <w:lvlText w:val=""/>
      <w:lvlJc w:val="left"/>
      <w:pPr>
        <w:ind w:left="5040" w:hanging="360"/>
      </w:pPr>
      <w:rPr>
        <w:rFonts w:ascii="Symbol" w:hAnsi="Symbol" w:hint="default"/>
      </w:rPr>
    </w:lvl>
    <w:lvl w:ilvl="7" w:tplc="3628FB34">
      <w:start w:val="1"/>
      <w:numFmt w:val="bullet"/>
      <w:lvlText w:val="o"/>
      <w:lvlJc w:val="left"/>
      <w:pPr>
        <w:ind w:left="5760" w:hanging="360"/>
      </w:pPr>
      <w:rPr>
        <w:rFonts w:ascii="Courier New" w:hAnsi="Courier New" w:hint="default"/>
      </w:rPr>
    </w:lvl>
    <w:lvl w:ilvl="8" w:tplc="AFDAE8BC">
      <w:start w:val="1"/>
      <w:numFmt w:val="bullet"/>
      <w:lvlText w:val=""/>
      <w:lvlJc w:val="left"/>
      <w:pPr>
        <w:ind w:left="6480" w:hanging="360"/>
      </w:pPr>
      <w:rPr>
        <w:rFonts w:ascii="Wingdings" w:hAnsi="Wingdings" w:hint="default"/>
      </w:rPr>
    </w:lvl>
  </w:abstractNum>
  <w:abstractNum w:abstractNumId="5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E8A2FA9"/>
    <w:multiLevelType w:val="multilevel"/>
    <w:tmpl w:val="1F986B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8" w15:restartNumberingAfterBreak="0">
    <w:nsid w:val="634BA538"/>
    <w:multiLevelType w:val="multilevel"/>
    <w:tmpl w:val="18B0996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64822C47"/>
    <w:multiLevelType w:val="hybridMultilevel"/>
    <w:tmpl w:val="24BC9C38"/>
    <w:lvl w:ilvl="0" w:tplc="E13E8C6A">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65C217B"/>
    <w:multiLevelType w:val="multilevel"/>
    <w:tmpl w:val="07E412C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74" w:hanging="432"/>
      </w:p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15:restartNumberingAfterBreak="0">
    <w:nsid w:val="69DE39F1"/>
    <w:multiLevelType w:val="multilevel"/>
    <w:tmpl w:val="282EC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D0B1D50"/>
    <w:multiLevelType w:val="multilevel"/>
    <w:tmpl w:val="9490D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D7F62A4"/>
    <w:multiLevelType w:val="multilevel"/>
    <w:tmpl w:val="E80A6D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5" w15:restartNumberingAfterBreak="0">
    <w:nsid w:val="7230657A"/>
    <w:multiLevelType w:val="multilevel"/>
    <w:tmpl w:val="68B2E8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740B1F64"/>
    <w:multiLevelType w:val="multilevel"/>
    <w:tmpl w:val="CD6C62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44D0EDC"/>
    <w:multiLevelType w:val="hybridMultilevel"/>
    <w:tmpl w:val="BCE4F17C"/>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9" w15:restartNumberingAfterBreak="0">
    <w:nsid w:val="76FA3626"/>
    <w:multiLevelType w:val="multilevel"/>
    <w:tmpl w:val="0032B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814650A"/>
    <w:multiLevelType w:val="multilevel"/>
    <w:tmpl w:val="06FA0EF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8DD02D9"/>
    <w:multiLevelType w:val="multilevel"/>
    <w:tmpl w:val="010A56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7480571">
    <w:abstractNumId w:val="58"/>
  </w:num>
  <w:num w:numId="2" w16cid:durableId="166945348">
    <w:abstractNumId w:val="6"/>
  </w:num>
  <w:num w:numId="3" w16cid:durableId="1469392472">
    <w:abstractNumId w:val="28"/>
  </w:num>
  <w:num w:numId="4" w16cid:durableId="1792749823">
    <w:abstractNumId w:val="49"/>
  </w:num>
  <w:num w:numId="5" w16cid:durableId="517735681">
    <w:abstractNumId w:val="22"/>
  </w:num>
  <w:num w:numId="6" w16cid:durableId="1142041724">
    <w:abstractNumId w:val="61"/>
  </w:num>
  <w:num w:numId="7" w16cid:durableId="80681869">
    <w:abstractNumId w:val="42"/>
  </w:num>
  <w:num w:numId="8" w16cid:durableId="1566528953">
    <w:abstractNumId w:val="48"/>
  </w:num>
  <w:num w:numId="9" w16cid:durableId="809788981">
    <w:abstractNumId w:val="48"/>
    <w:lvlOverride w:ilvl="0">
      <w:startOverride w:val="1"/>
    </w:lvlOverride>
  </w:num>
  <w:num w:numId="10" w16cid:durableId="1398822153">
    <w:abstractNumId w:val="48"/>
    <w:lvlOverride w:ilvl="0">
      <w:startOverride w:val="1"/>
    </w:lvlOverride>
  </w:num>
  <w:num w:numId="11" w16cid:durableId="1825466284">
    <w:abstractNumId w:val="48"/>
    <w:lvlOverride w:ilvl="0">
      <w:startOverride w:val="1"/>
    </w:lvlOverride>
  </w:num>
  <w:num w:numId="12" w16cid:durableId="1446922321">
    <w:abstractNumId w:val="42"/>
    <w:lvlOverride w:ilvl="0">
      <w:startOverride w:val="1"/>
    </w:lvlOverride>
  </w:num>
  <w:num w:numId="13" w16cid:durableId="122584543">
    <w:abstractNumId w:val="48"/>
    <w:lvlOverride w:ilvl="0">
      <w:startOverride w:val="1"/>
    </w:lvlOverride>
  </w:num>
  <w:num w:numId="14" w16cid:durableId="818807267">
    <w:abstractNumId w:val="42"/>
    <w:lvlOverride w:ilvl="0">
      <w:startOverride w:val="1"/>
    </w:lvlOverride>
  </w:num>
  <w:num w:numId="15" w16cid:durableId="883829348">
    <w:abstractNumId w:val="48"/>
    <w:lvlOverride w:ilvl="0">
      <w:startOverride w:val="1"/>
    </w:lvlOverride>
  </w:num>
  <w:num w:numId="16" w16cid:durableId="438372887">
    <w:abstractNumId w:val="71"/>
  </w:num>
  <w:num w:numId="17" w16cid:durableId="516113510">
    <w:abstractNumId w:val="15"/>
  </w:num>
  <w:num w:numId="18" w16cid:durableId="1456096507">
    <w:abstractNumId w:val="60"/>
  </w:num>
  <w:num w:numId="19" w16cid:durableId="1397970374">
    <w:abstractNumId w:val="60"/>
    <w:lvlOverride w:ilvl="0">
      <w:lvl w:ilvl="0">
        <w:start w:val="1"/>
        <w:numFmt w:val="decimal"/>
        <w:pStyle w:val="RAN4H1"/>
        <w:lvlText w:val="%1."/>
        <w:lvlJc w:val="left"/>
        <w:pPr>
          <w:ind w:left="360" w:hanging="360"/>
        </w:pPr>
        <w:rPr>
          <w:rFonts w:hint="default"/>
        </w:rPr>
      </w:lvl>
    </w:lvlOverride>
    <w:lvlOverride w:ilvl="1">
      <w:lvl w:ilv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1963027817">
    <w:abstractNumId w:val="6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6063540">
    <w:abstractNumId w:val="40"/>
  </w:num>
  <w:num w:numId="22" w16cid:durableId="1659071369">
    <w:abstractNumId w:val="56"/>
  </w:num>
  <w:num w:numId="23" w16cid:durableId="1938362445">
    <w:abstractNumId w:val="42"/>
    <w:lvlOverride w:ilvl="0">
      <w:startOverride w:val="1"/>
    </w:lvlOverride>
  </w:num>
  <w:num w:numId="24" w16cid:durableId="913515990">
    <w:abstractNumId w:val="48"/>
    <w:lvlOverride w:ilvl="0">
      <w:startOverride w:val="1"/>
    </w:lvlOverride>
  </w:num>
  <w:num w:numId="25" w16cid:durableId="978418003">
    <w:abstractNumId w:val="10"/>
  </w:num>
  <w:num w:numId="26" w16cid:durableId="143009612">
    <w:abstractNumId w:val="5"/>
  </w:num>
  <w:num w:numId="27" w16cid:durableId="212620654">
    <w:abstractNumId w:val="5"/>
    <w:lvlOverride w:ilvl="0">
      <w:startOverride w:val="1"/>
    </w:lvlOverride>
  </w:num>
  <w:num w:numId="28" w16cid:durableId="1204945231">
    <w:abstractNumId w:val="17"/>
  </w:num>
  <w:num w:numId="29" w16cid:durableId="451903255">
    <w:abstractNumId w:val="54"/>
  </w:num>
  <w:num w:numId="30" w16cid:durableId="564411247">
    <w:abstractNumId w:val="72"/>
  </w:num>
  <w:num w:numId="31" w16cid:durableId="1593709334">
    <w:abstractNumId w:val="51"/>
  </w:num>
  <w:num w:numId="32" w16cid:durableId="2138914142">
    <w:abstractNumId w:val="59"/>
  </w:num>
  <w:num w:numId="33" w16cid:durableId="1412123082">
    <w:abstractNumId w:val="8"/>
  </w:num>
  <w:num w:numId="34" w16cid:durableId="1321689173">
    <w:abstractNumId w:val="68"/>
  </w:num>
  <w:num w:numId="35" w16cid:durableId="1716006060">
    <w:abstractNumId w:val="48"/>
  </w:num>
  <w:num w:numId="36" w16cid:durableId="1898588987">
    <w:abstractNumId w:val="48"/>
  </w:num>
  <w:num w:numId="37" w16cid:durableId="653265581">
    <w:abstractNumId w:val="19"/>
  </w:num>
  <w:num w:numId="38" w16cid:durableId="1602445824">
    <w:abstractNumId w:val="38"/>
  </w:num>
  <w:num w:numId="39" w16cid:durableId="1536385858">
    <w:abstractNumId w:val="16"/>
  </w:num>
  <w:num w:numId="40" w16cid:durableId="928779876">
    <w:abstractNumId w:val="37"/>
  </w:num>
  <w:num w:numId="41" w16cid:durableId="1065369789">
    <w:abstractNumId w:val="60"/>
  </w:num>
  <w:num w:numId="42" w16cid:durableId="539245892">
    <w:abstractNumId w:val="69"/>
  </w:num>
  <w:num w:numId="43" w16cid:durableId="236867407">
    <w:abstractNumId w:val="36"/>
  </w:num>
  <w:num w:numId="44" w16cid:durableId="512231568">
    <w:abstractNumId w:val="50"/>
  </w:num>
  <w:num w:numId="45" w16cid:durableId="1764641378">
    <w:abstractNumId w:val="9"/>
  </w:num>
  <w:num w:numId="46" w16cid:durableId="2089301349">
    <w:abstractNumId w:val="53"/>
  </w:num>
  <w:num w:numId="47" w16cid:durableId="1172573023">
    <w:abstractNumId w:val="60"/>
  </w:num>
  <w:num w:numId="48" w16cid:durableId="881132785">
    <w:abstractNumId w:val="60"/>
  </w:num>
  <w:num w:numId="49" w16cid:durableId="1373001606">
    <w:abstractNumId w:val="60"/>
  </w:num>
  <w:num w:numId="50" w16cid:durableId="1438911558">
    <w:abstractNumId w:val="48"/>
  </w:num>
  <w:num w:numId="51" w16cid:durableId="1599824375">
    <w:abstractNumId w:val="42"/>
  </w:num>
  <w:num w:numId="52" w16cid:durableId="1648558832">
    <w:abstractNumId w:val="26"/>
  </w:num>
  <w:num w:numId="53" w16cid:durableId="1189441968">
    <w:abstractNumId w:val="48"/>
    <w:lvlOverride w:ilvl="0">
      <w:startOverride w:val="1"/>
    </w:lvlOverride>
  </w:num>
  <w:num w:numId="54" w16cid:durableId="980619232">
    <w:abstractNumId w:val="42"/>
  </w:num>
  <w:num w:numId="55" w16cid:durableId="690684995">
    <w:abstractNumId w:val="42"/>
  </w:num>
  <w:num w:numId="56" w16cid:durableId="1772310457">
    <w:abstractNumId w:val="42"/>
    <w:lvlOverride w:ilvl="0">
      <w:startOverride w:val="1"/>
    </w:lvlOverride>
  </w:num>
  <w:num w:numId="57" w16cid:durableId="586232417">
    <w:abstractNumId w:val="42"/>
    <w:lvlOverride w:ilvl="0">
      <w:startOverride w:val="1"/>
    </w:lvlOverride>
  </w:num>
  <w:num w:numId="58" w16cid:durableId="358625448">
    <w:abstractNumId w:val="54"/>
  </w:num>
  <w:num w:numId="59" w16cid:durableId="1551768824">
    <w:abstractNumId w:val="25"/>
  </w:num>
  <w:num w:numId="60" w16cid:durableId="595866739">
    <w:abstractNumId w:val="55"/>
  </w:num>
  <w:num w:numId="61" w16cid:durableId="777023704">
    <w:abstractNumId w:val="3"/>
  </w:num>
  <w:num w:numId="62" w16cid:durableId="737946477">
    <w:abstractNumId w:val="66"/>
  </w:num>
  <w:num w:numId="63" w16cid:durableId="2052457102">
    <w:abstractNumId w:val="20"/>
  </w:num>
  <w:num w:numId="64" w16cid:durableId="1540585912">
    <w:abstractNumId w:val="43"/>
  </w:num>
  <w:num w:numId="65" w16cid:durableId="1523860265">
    <w:abstractNumId w:val="33"/>
  </w:num>
  <w:num w:numId="66" w16cid:durableId="437483485">
    <w:abstractNumId w:val="1"/>
  </w:num>
  <w:num w:numId="67" w16cid:durableId="1886747239">
    <w:abstractNumId w:val="14"/>
  </w:num>
  <w:num w:numId="68" w16cid:durableId="2039546161">
    <w:abstractNumId w:val="27"/>
  </w:num>
  <w:num w:numId="69" w16cid:durableId="1415978011">
    <w:abstractNumId w:val="48"/>
  </w:num>
  <w:num w:numId="70" w16cid:durableId="958031699">
    <w:abstractNumId w:val="48"/>
  </w:num>
  <w:num w:numId="71" w16cid:durableId="1794446145">
    <w:abstractNumId w:val="48"/>
  </w:num>
  <w:num w:numId="72" w16cid:durableId="746656508">
    <w:abstractNumId w:val="42"/>
  </w:num>
  <w:num w:numId="73" w16cid:durableId="2110002511">
    <w:abstractNumId w:val="42"/>
  </w:num>
  <w:num w:numId="74" w16cid:durableId="1559317835">
    <w:abstractNumId w:val="42"/>
  </w:num>
  <w:num w:numId="75" w16cid:durableId="2040934230">
    <w:abstractNumId w:val="42"/>
  </w:num>
  <w:num w:numId="76" w16cid:durableId="2035569753">
    <w:abstractNumId w:val="34"/>
  </w:num>
  <w:num w:numId="77" w16cid:durableId="348605784">
    <w:abstractNumId w:val="57"/>
  </w:num>
  <w:num w:numId="78" w16cid:durableId="1715544036">
    <w:abstractNumId w:val="47"/>
  </w:num>
  <w:num w:numId="79" w16cid:durableId="216358105">
    <w:abstractNumId w:val="65"/>
  </w:num>
  <w:num w:numId="80" w16cid:durableId="657659797">
    <w:abstractNumId w:val="4"/>
  </w:num>
  <w:num w:numId="81" w16cid:durableId="1741639084">
    <w:abstractNumId w:val="0"/>
  </w:num>
  <w:num w:numId="82" w16cid:durableId="1617254231">
    <w:abstractNumId w:val="31"/>
  </w:num>
  <w:num w:numId="83" w16cid:durableId="448545645">
    <w:abstractNumId w:val="18"/>
  </w:num>
  <w:num w:numId="84" w16cid:durableId="747459229">
    <w:abstractNumId w:val="7"/>
  </w:num>
  <w:num w:numId="85" w16cid:durableId="86580606">
    <w:abstractNumId w:val="12"/>
  </w:num>
  <w:num w:numId="86" w16cid:durableId="1777292243">
    <w:abstractNumId w:val="46"/>
  </w:num>
  <w:num w:numId="87" w16cid:durableId="1391076238">
    <w:abstractNumId w:val="21"/>
  </w:num>
  <w:num w:numId="88" w16cid:durableId="831990289">
    <w:abstractNumId w:val="13"/>
  </w:num>
  <w:num w:numId="89" w16cid:durableId="752626737">
    <w:abstractNumId w:val="62"/>
  </w:num>
  <w:num w:numId="90" w16cid:durableId="480200260">
    <w:abstractNumId w:val="11"/>
  </w:num>
  <w:num w:numId="91" w16cid:durableId="1317954756">
    <w:abstractNumId w:val="67"/>
  </w:num>
  <w:num w:numId="92" w16cid:durableId="836070100">
    <w:abstractNumId w:val="44"/>
  </w:num>
  <w:num w:numId="93" w16cid:durableId="1630621351">
    <w:abstractNumId w:val="29"/>
  </w:num>
  <w:num w:numId="94" w16cid:durableId="1874927295">
    <w:abstractNumId w:val="70"/>
  </w:num>
  <w:num w:numId="95" w16cid:durableId="1173491704">
    <w:abstractNumId w:val="41"/>
  </w:num>
  <w:num w:numId="96" w16cid:durableId="1615674876">
    <w:abstractNumId w:val="39"/>
  </w:num>
  <w:num w:numId="97" w16cid:durableId="1123310174">
    <w:abstractNumId w:val="32"/>
  </w:num>
  <w:num w:numId="98" w16cid:durableId="1249386273">
    <w:abstractNumId w:val="24"/>
  </w:num>
  <w:num w:numId="99" w16cid:durableId="1286078583">
    <w:abstractNumId w:val="30"/>
  </w:num>
  <w:num w:numId="100" w16cid:durableId="475682098">
    <w:abstractNumId w:val="52"/>
  </w:num>
  <w:num w:numId="101" w16cid:durableId="414085830">
    <w:abstractNumId w:val="64"/>
  </w:num>
  <w:num w:numId="102" w16cid:durableId="1820422794">
    <w:abstractNumId w:val="23"/>
  </w:num>
  <w:num w:numId="103" w16cid:durableId="519008501">
    <w:abstractNumId w:val="35"/>
  </w:num>
  <w:num w:numId="104" w16cid:durableId="2050719549">
    <w:abstractNumId w:val="63"/>
  </w:num>
  <w:num w:numId="105" w16cid:durableId="922950744">
    <w:abstractNumId w:val="54"/>
  </w:num>
  <w:num w:numId="106" w16cid:durableId="724764793">
    <w:abstractNumId w:val="48"/>
  </w:num>
  <w:num w:numId="107" w16cid:durableId="77286999">
    <w:abstractNumId w:val="42"/>
  </w:num>
  <w:num w:numId="108" w16cid:durableId="1936790405">
    <w:abstractNumId w:val="60"/>
  </w:num>
  <w:num w:numId="109" w16cid:durableId="1350720649">
    <w:abstractNumId w:val="60"/>
  </w:num>
  <w:num w:numId="110" w16cid:durableId="2136093293">
    <w:abstractNumId w:val="2"/>
  </w:num>
  <w:num w:numId="111" w16cid:durableId="2028554523">
    <w:abstractNumId w:val="48"/>
  </w:num>
  <w:num w:numId="112" w16cid:durableId="1659991835">
    <w:abstractNumId w:val="48"/>
  </w:num>
  <w:num w:numId="113" w16cid:durableId="1851092957">
    <w:abstractNumId w:val="42"/>
  </w:num>
  <w:num w:numId="114" w16cid:durableId="1068959291">
    <w:abstractNumId w:val="42"/>
  </w:num>
  <w:num w:numId="115" w16cid:durableId="1837068586">
    <w:abstractNumId w:val="42"/>
  </w:num>
  <w:num w:numId="116" w16cid:durableId="1736514146">
    <w:abstractNumId w:val="45"/>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90A76"/>
    <w:rsid w:val="0000173E"/>
    <w:rsid w:val="00001C9B"/>
    <w:rsid w:val="0000251C"/>
    <w:rsid w:val="0000253E"/>
    <w:rsid w:val="00002D99"/>
    <w:rsid w:val="00003848"/>
    <w:rsid w:val="000040DC"/>
    <w:rsid w:val="00004437"/>
    <w:rsid w:val="00005445"/>
    <w:rsid w:val="0000554B"/>
    <w:rsid w:val="00006678"/>
    <w:rsid w:val="00006CBC"/>
    <w:rsid w:val="00010A89"/>
    <w:rsid w:val="0001155C"/>
    <w:rsid w:val="00011784"/>
    <w:rsid w:val="0001179A"/>
    <w:rsid w:val="00011D56"/>
    <w:rsid w:val="00012490"/>
    <w:rsid w:val="00012970"/>
    <w:rsid w:val="00013967"/>
    <w:rsid w:val="00014C83"/>
    <w:rsid w:val="000151EF"/>
    <w:rsid w:val="00015604"/>
    <w:rsid w:val="00015FAC"/>
    <w:rsid w:val="00016466"/>
    <w:rsid w:val="0001679E"/>
    <w:rsid w:val="00016836"/>
    <w:rsid w:val="000169BD"/>
    <w:rsid w:val="000171C0"/>
    <w:rsid w:val="00017C3D"/>
    <w:rsid w:val="00017FA5"/>
    <w:rsid w:val="00020695"/>
    <w:rsid w:val="000219B1"/>
    <w:rsid w:val="000222D7"/>
    <w:rsid w:val="000239F5"/>
    <w:rsid w:val="000242FB"/>
    <w:rsid w:val="0002489D"/>
    <w:rsid w:val="00025175"/>
    <w:rsid w:val="0002532C"/>
    <w:rsid w:val="00025C4C"/>
    <w:rsid w:val="000267FC"/>
    <w:rsid w:val="00026895"/>
    <w:rsid w:val="000274C5"/>
    <w:rsid w:val="00030D38"/>
    <w:rsid w:val="0003132D"/>
    <w:rsid w:val="00031EFD"/>
    <w:rsid w:val="000326E6"/>
    <w:rsid w:val="0003383F"/>
    <w:rsid w:val="00034054"/>
    <w:rsid w:val="00034A05"/>
    <w:rsid w:val="00034DCA"/>
    <w:rsid w:val="00035C94"/>
    <w:rsid w:val="00037292"/>
    <w:rsid w:val="00037996"/>
    <w:rsid w:val="00037EA0"/>
    <w:rsid w:val="00040EB3"/>
    <w:rsid w:val="00041AFF"/>
    <w:rsid w:val="0004493C"/>
    <w:rsid w:val="00045AF1"/>
    <w:rsid w:val="00045ECC"/>
    <w:rsid w:val="00045F91"/>
    <w:rsid w:val="00046B32"/>
    <w:rsid w:val="00046CA5"/>
    <w:rsid w:val="000509F9"/>
    <w:rsid w:val="00051482"/>
    <w:rsid w:val="0005297A"/>
    <w:rsid w:val="00052A27"/>
    <w:rsid w:val="00055408"/>
    <w:rsid w:val="00055445"/>
    <w:rsid w:val="00056C60"/>
    <w:rsid w:val="00056CBC"/>
    <w:rsid w:val="000577CF"/>
    <w:rsid w:val="000626B8"/>
    <w:rsid w:val="00063287"/>
    <w:rsid w:val="000646AB"/>
    <w:rsid w:val="0006476B"/>
    <w:rsid w:val="00064F18"/>
    <w:rsid w:val="000652EB"/>
    <w:rsid w:val="00065A48"/>
    <w:rsid w:val="00065F10"/>
    <w:rsid w:val="00066374"/>
    <w:rsid w:val="00067294"/>
    <w:rsid w:val="00067C4F"/>
    <w:rsid w:val="000709E7"/>
    <w:rsid w:val="00071256"/>
    <w:rsid w:val="00072CCA"/>
    <w:rsid w:val="00073607"/>
    <w:rsid w:val="00073F91"/>
    <w:rsid w:val="000740AF"/>
    <w:rsid w:val="00074E35"/>
    <w:rsid w:val="000755F5"/>
    <w:rsid w:val="00075AC9"/>
    <w:rsid w:val="0007601C"/>
    <w:rsid w:val="00077A5D"/>
    <w:rsid w:val="00080246"/>
    <w:rsid w:val="00080C6C"/>
    <w:rsid w:val="00080ECD"/>
    <w:rsid w:val="0008137F"/>
    <w:rsid w:val="00081544"/>
    <w:rsid w:val="000822EE"/>
    <w:rsid w:val="0008302A"/>
    <w:rsid w:val="00083632"/>
    <w:rsid w:val="00084B30"/>
    <w:rsid w:val="000850D5"/>
    <w:rsid w:val="000853E1"/>
    <w:rsid w:val="0008612A"/>
    <w:rsid w:val="0008657A"/>
    <w:rsid w:val="00086ACD"/>
    <w:rsid w:val="000903C3"/>
    <w:rsid w:val="00090AA3"/>
    <w:rsid w:val="00090E18"/>
    <w:rsid w:val="00091814"/>
    <w:rsid w:val="00092D54"/>
    <w:rsid w:val="00093098"/>
    <w:rsid w:val="00093384"/>
    <w:rsid w:val="00093939"/>
    <w:rsid w:val="00093B8E"/>
    <w:rsid w:val="000954F9"/>
    <w:rsid w:val="0009575A"/>
    <w:rsid w:val="00095BAF"/>
    <w:rsid w:val="00096F88"/>
    <w:rsid w:val="00097021"/>
    <w:rsid w:val="000A0413"/>
    <w:rsid w:val="000A056F"/>
    <w:rsid w:val="000A07B3"/>
    <w:rsid w:val="000A10BC"/>
    <w:rsid w:val="000A27F3"/>
    <w:rsid w:val="000A28E5"/>
    <w:rsid w:val="000A3877"/>
    <w:rsid w:val="000A46F7"/>
    <w:rsid w:val="000A4945"/>
    <w:rsid w:val="000A7829"/>
    <w:rsid w:val="000A7F53"/>
    <w:rsid w:val="000B0056"/>
    <w:rsid w:val="000B0198"/>
    <w:rsid w:val="000B06C0"/>
    <w:rsid w:val="000B173A"/>
    <w:rsid w:val="000B175B"/>
    <w:rsid w:val="000B2481"/>
    <w:rsid w:val="000B30F8"/>
    <w:rsid w:val="000B3531"/>
    <w:rsid w:val="000B42D2"/>
    <w:rsid w:val="000B5FCF"/>
    <w:rsid w:val="000C083D"/>
    <w:rsid w:val="000C0BDE"/>
    <w:rsid w:val="000C1CD1"/>
    <w:rsid w:val="000C3C7B"/>
    <w:rsid w:val="000C4BEA"/>
    <w:rsid w:val="000C4E7B"/>
    <w:rsid w:val="000C4FAC"/>
    <w:rsid w:val="000C7613"/>
    <w:rsid w:val="000C774B"/>
    <w:rsid w:val="000D03E4"/>
    <w:rsid w:val="000D04DD"/>
    <w:rsid w:val="000D0F93"/>
    <w:rsid w:val="000D15D5"/>
    <w:rsid w:val="000D1E31"/>
    <w:rsid w:val="000D3169"/>
    <w:rsid w:val="000D36E4"/>
    <w:rsid w:val="000D4614"/>
    <w:rsid w:val="000D49EC"/>
    <w:rsid w:val="000D51BD"/>
    <w:rsid w:val="000D635C"/>
    <w:rsid w:val="000D6519"/>
    <w:rsid w:val="000D7083"/>
    <w:rsid w:val="000D7AAA"/>
    <w:rsid w:val="000D7D7F"/>
    <w:rsid w:val="000D7F4F"/>
    <w:rsid w:val="000E0059"/>
    <w:rsid w:val="000E10EA"/>
    <w:rsid w:val="000E1484"/>
    <w:rsid w:val="000E316D"/>
    <w:rsid w:val="000E4E0A"/>
    <w:rsid w:val="000E58B8"/>
    <w:rsid w:val="000E6620"/>
    <w:rsid w:val="000E672C"/>
    <w:rsid w:val="000E6F2F"/>
    <w:rsid w:val="000F124F"/>
    <w:rsid w:val="000F134A"/>
    <w:rsid w:val="000F18C8"/>
    <w:rsid w:val="000F24C0"/>
    <w:rsid w:val="000F2D12"/>
    <w:rsid w:val="000F2D76"/>
    <w:rsid w:val="000F5F13"/>
    <w:rsid w:val="000F5FA2"/>
    <w:rsid w:val="000F65C8"/>
    <w:rsid w:val="000F6E9B"/>
    <w:rsid w:val="000F6F9F"/>
    <w:rsid w:val="000F78E4"/>
    <w:rsid w:val="000F7C5C"/>
    <w:rsid w:val="000F7EC2"/>
    <w:rsid w:val="00101048"/>
    <w:rsid w:val="00101437"/>
    <w:rsid w:val="00101D5C"/>
    <w:rsid w:val="00101EEC"/>
    <w:rsid w:val="001059AC"/>
    <w:rsid w:val="00105AFD"/>
    <w:rsid w:val="00106416"/>
    <w:rsid w:val="00110481"/>
    <w:rsid w:val="00110E12"/>
    <w:rsid w:val="001113FD"/>
    <w:rsid w:val="001127C9"/>
    <w:rsid w:val="00113AD8"/>
    <w:rsid w:val="00114498"/>
    <w:rsid w:val="00114B46"/>
    <w:rsid w:val="00114D6A"/>
    <w:rsid w:val="00115700"/>
    <w:rsid w:val="00115B88"/>
    <w:rsid w:val="00116437"/>
    <w:rsid w:val="00116DEF"/>
    <w:rsid w:val="001171BB"/>
    <w:rsid w:val="00120034"/>
    <w:rsid w:val="00120933"/>
    <w:rsid w:val="00120B6B"/>
    <w:rsid w:val="001213D8"/>
    <w:rsid w:val="00121D24"/>
    <w:rsid w:val="001221F1"/>
    <w:rsid w:val="0012294E"/>
    <w:rsid w:val="00123A7D"/>
    <w:rsid w:val="00123C95"/>
    <w:rsid w:val="00125F6A"/>
    <w:rsid w:val="00126805"/>
    <w:rsid w:val="00126943"/>
    <w:rsid w:val="00127413"/>
    <w:rsid w:val="00127D59"/>
    <w:rsid w:val="001305A3"/>
    <w:rsid w:val="00130FDE"/>
    <w:rsid w:val="00132D07"/>
    <w:rsid w:val="00132F6A"/>
    <w:rsid w:val="001331BA"/>
    <w:rsid w:val="00133913"/>
    <w:rsid w:val="0013563F"/>
    <w:rsid w:val="0013680F"/>
    <w:rsid w:val="00140221"/>
    <w:rsid w:val="00140515"/>
    <w:rsid w:val="00140D6A"/>
    <w:rsid w:val="00141CD2"/>
    <w:rsid w:val="00142A31"/>
    <w:rsid w:val="00143B04"/>
    <w:rsid w:val="00144827"/>
    <w:rsid w:val="001460F4"/>
    <w:rsid w:val="00146F14"/>
    <w:rsid w:val="00150B22"/>
    <w:rsid w:val="00150CF8"/>
    <w:rsid w:val="00151EC4"/>
    <w:rsid w:val="001520BE"/>
    <w:rsid w:val="00152FA6"/>
    <w:rsid w:val="001536C9"/>
    <w:rsid w:val="001540BC"/>
    <w:rsid w:val="001544E7"/>
    <w:rsid w:val="00155E2F"/>
    <w:rsid w:val="00156D26"/>
    <w:rsid w:val="001572DB"/>
    <w:rsid w:val="001607F4"/>
    <w:rsid w:val="00161968"/>
    <w:rsid w:val="001635A7"/>
    <w:rsid w:val="001642FC"/>
    <w:rsid w:val="00164626"/>
    <w:rsid w:val="0016496B"/>
    <w:rsid w:val="00164DDB"/>
    <w:rsid w:val="00164F0F"/>
    <w:rsid w:val="001668BE"/>
    <w:rsid w:val="00167D1F"/>
    <w:rsid w:val="0017248B"/>
    <w:rsid w:val="0017250B"/>
    <w:rsid w:val="00172807"/>
    <w:rsid w:val="00172ED1"/>
    <w:rsid w:val="001743E2"/>
    <w:rsid w:val="001745F8"/>
    <w:rsid w:val="00175137"/>
    <w:rsid w:val="00175A9C"/>
    <w:rsid w:val="00176700"/>
    <w:rsid w:val="00177730"/>
    <w:rsid w:val="001807CD"/>
    <w:rsid w:val="001813A0"/>
    <w:rsid w:val="001825FD"/>
    <w:rsid w:val="00182C0A"/>
    <w:rsid w:val="001835CB"/>
    <w:rsid w:val="001838CF"/>
    <w:rsid w:val="00183B44"/>
    <w:rsid w:val="00183E54"/>
    <w:rsid w:val="00184EE0"/>
    <w:rsid w:val="001868EE"/>
    <w:rsid w:val="001917B2"/>
    <w:rsid w:val="00192B15"/>
    <w:rsid w:val="00193BBC"/>
    <w:rsid w:val="00193CC6"/>
    <w:rsid w:val="00193F02"/>
    <w:rsid w:val="001945E7"/>
    <w:rsid w:val="00194E77"/>
    <w:rsid w:val="001A057C"/>
    <w:rsid w:val="001A1354"/>
    <w:rsid w:val="001A1810"/>
    <w:rsid w:val="001A3BA4"/>
    <w:rsid w:val="001A3BD6"/>
    <w:rsid w:val="001A4A8F"/>
    <w:rsid w:val="001A5D21"/>
    <w:rsid w:val="001A632F"/>
    <w:rsid w:val="001A6643"/>
    <w:rsid w:val="001A6D1F"/>
    <w:rsid w:val="001A753E"/>
    <w:rsid w:val="001B0880"/>
    <w:rsid w:val="001B0EF5"/>
    <w:rsid w:val="001B1B14"/>
    <w:rsid w:val="001B1D5E"/>
    <w:rsid w:val="001B1EA8"/>
    <w:rsid w:val="001B25E5"/>
    <w:rsid w:val="001B328C"/>
    <w:rsid w:val="001B43D9"/>
    <w:rsid w:val="001B505F"/>
    <w:rsid w:val="001B5DC8"/>
    <w:rsid w:val="001B6F22"/>
    <w:rsid w:val="001B6F99"/>
    <w:rsid w:val="001B771E"/>
    <w:rsid w:val="001C00B0"/>
    <w:rsid w:val="001C052A"/>
    <w:rsid w:val="001C129B"/>
    <w:rsid w:val="001C2674"/>
    <w:rsid w:val="001C2CC3"/>
    <w:rsid w:val="001C3358"/>
    <w:rsid w:val="001C3F19"/>
    <w:rsid w:val="001C4953"/>
    <w:rsid w:val="001C58C4"/>
    <w:rsid w:val="001D0F4F"/>
    <w:rsid w:val="001D1279"/>
    <w:rsid w:val="001D1EA6"/>
    <w:rsid w:val="001D286F"/>
    <w:rsid w:val="001D4447"/>
    <w:rsid w:val="001D56FE"/>
    <w:rsid w:val="001E0CD3"/>
    <w:rsid w:val="001E0DFE"/>
    <w:rsid w:val="001E12DE"/>
    <w:rsid w:val="001E30F6"/>
    <w:rsid w:val="001E69BB"/>
    <w:rsid w:val="001E6CB1"/>
    <w:rsid w:val="001F0981"/>
    <w:rsid w:val="001F0C21"/>
    <w:rsid w:val="001F304F"/>
    <w:rsid w:val="001F34FD"/>
    <w:rsid w:val="001F4FD4"/>
    <w:rsid w:val="001F52CC"/>
    <w:rsid w:val="001F5F28"/>
    <w:rsid w:val="001F6781"/>
    <w:rsid w:val="001F75FD"/>
    <w:rsid w:val="001F79F4"/>
    <w:rsid w:val="0020094E"/>
    <w:rsid w:val="00200EB9"/>
    <w:rsid w:val="0020105B"/>
    <w:rsid w:val="0020145E"/>
    <w:rsid w:val="00201FC2"/>
    <w:rsid w:val="002024F1"/>
    <w:rsid w:val="002031F1"/>
    <w:rsid w:val="00203ED0"/>
    <w:rsid w:val="00206A67"/>
    <w:rsid w:val="0020755E"/>
    <w:rsid w:val="002111C7"/>
    <w:rsid w:val="00211501"/>
    <w:rsid w:val="00211EAB"/>
    <w:rsid w:val="002123D9"/>
    <w:rsid w:val="00213E7E"/>
    <w:rsid w:val="00214A2E"/>
    <w:rsid w:val="00216D35"/>
    <w:rsid w:val="00216EEC"/>
    <w:rsid w:val="002176ED"/>
    <w:rsid w:val="00217EE5"/>
    <w:rsid w:val="0022016C"/>
    <w:rsid w:val="002211EA"/>
    <w:rsid w:val="00221E53"/>
    <w:rsid w:val="00222C81"/>
    <w:rsid w:val="002252DF"/>
    <w:rsid w:val="002258F1"/>
    <w:rsid w:val="00225B64"/>
    <w:rsid w:val="00226D16"/>
    <w:rsid w:val="0023145E"/>
    <w:rsid w:val="00232214"/>
    <w:rsid w:val="00233004"/>
    <w:rsid w:val="0023302A"/>
    <w:rsid w:val="00234E51"/>
    <w:rsid w:val="002351F6"/>
    <w:rsid w:val="00235AF9"/>
    <w:rsid w:val="00235F5C"/>
    <w:rsid w:val="002368D8"/>
    <w:rsid w:val="00237BA2"/>
    <w:rsid w:val="00237CF2"/>
    <w:rsid w:val="00237F87"/>
    <w:rsid w:val="00237FCB"/>
    <w:rsid w:val="00240516"/>
    <w:rsid w:val="00240BDB"/>
    <w:rsid w:val="00242B38"/>
    <w:rsid w:val="00244156"/>
    <w:rsid w:val="00245B15"/>
    <w:rsid w:val="00245CC4"/>
    <w:rsid w:val="00247CA7"/>
    <w:rsid w:val="002500C5"/>
    <w:rsid w:val="00250744"/>
    <w:rsid w:val="00250F3C"/>
    <w:rsid w:val="0025194B"/>
    <w:rsid w:val="002526C9"/>
    <w:rsid w:val="00253438"/>
    <w:rsid w:val="00253B8D"/>
    <w:rsid w:val="002548C6"/>
    <w:rsid w:val="00255A77"/>
    <w:rsid w:val="0025608A"/>
    <w:rsid w:val="00257499"/>
    <w:rsid w:val="00257A2C"/>
    <w:rsid w:val="00257CCD"/>
    <w:rsid w:val="00257FA3"/>
    <w:rsid w:val="0026011C"/>
    <w:rsid w:val="002601F1"/>
    <w:rsid w:val="00261310"/>
    <w:rsid w:val="002616B5"/>
    <w:rsid w:val="00261A86"/>
    <w:rsid w:val="00261AE4"/>
    <w:rsid w:val="00262DDA"/>
    <w:rsid w:val="002642E3"/>
    <w:rsid w:val="00264658"/>
    <w:rsid w:val="00264E9F"/>
    <w:rsid w:val="002657FE"/>
    <w:rsid w:val="00266A42"/>
    <w:rsid w:val="00266D85"/>
    <w:rsid w:val="00267D9A"/>
    <w:rsid w:val="002703A1"/>
    <w:rsid w:val="00273714"/>
    <w:rsid w:val="00275C65"/>
    <w:rsid w:val="00276D97"/>
    <w:rsid w:val="002770BA"/>
    <w:rsid w:val="00277136"/>
    <w:rsid w:val="00277B56"/>
    <w:rsid w:val="00281D54"/>
    <w:rsid w:val="00282A74"/>
    <w:rsid w:val="00283C4E"/>
    <w:rsid w:val="00283DBE"/>
    <w:rsid w:val="002840F1"/>
    <w:rsid w:val="002846A0"/>
    <w:rsid w:val="002849D4"/>
    <w:rsid w:val="002869EB"/>
    <w:rsid w:val="00287A5C"/>
    <w:rsid w:val="00290A76"/>
    <w:rsid w:val="00290BBC"/>
    <w:rsid w:val="00291C67"/>
    <w:rsid w:val="00292578"/>
    <w:rsid w:val="0029286A"/>
    <w:rsid w:val="00294490"/>
    <w:rsid w:val="00294DA5"/>
    <w:rsid w:val="0029651B"/>
    <w:rsid w:val="00296B9E"/>
    <w:rsid w:val="00297223"/>
    <w:rsid w:val="00297745"/>
    <w:rsid w:val="002A0500"/>
    <w:rsid w:val="002A0834"/>
    <w:rsid w:val="002A161B"/>
    <w:rsid w:val="002A19F5"/>
    <w:rsid w:val="002A24A2"/>
    <w:rsid w:val="002A3323"/>
    <w:rsid w:val="002A420F"/>
    <w:rsid w:val="002A534D"/>
    <w:rsid w:val="002A571E"/>
    <w:rsid w:val="002A68B5"/>
    <w:rsid w:val="002A7382"/>
    <w:rsid w:val="002A767F"/>
    <w:rsid w:val="002A7B7C"/>
    <w:rsid w:val="002B01A0"/>
    <w:rsid w:val="002B110C"/>
    <w:rsid w:val="002B1C30"/>
    <w:rsid w:val="002B2713"/>
    <w:rsid w:val="002B3C19"/>
    <w:rsid w:val="002B4922"/>
    <w:rsid w:val="002B5F34"/>
    <w:rsid w:val="002B6502"/>
    <w:rsid w:val="002B69F3"/>
    <w:rsid w:val="002C0E27"/>
    <w:rsid w:val="002C166D"/>
    <w:rsid w:val="002C20C8"/>
    <w:rsid w:val="002C22C3"/>
    <w:rsid w:val="002C2672"/>
    <w:rsid w:val="002C2BF1"/>
    <w:rsid w:val="002C2D19"/>
    <w:rsid w:val="002C2DDD"/>
    <w:rsid w:val="002C3545"/>
    <w:rsid w:val="002C4314"/>
    <w:rsid w:val="002C5240"/>
    <w:rsid w:val="002C6155"/>
    <w:rsid w:val="002C72E0"/>
    <w:rsid w:val="002C78FC"/>
    <w:rsid w:val="002D0E51"/>
    <w:rsid w:val="002D0F1D"/>
    <w:rsid w:val="002D10FA"/>
    <w:rsid w:val="002D19D1"/>
    <w:rsid w:val="002D3DAE"/>
    <w:rsid w:val="002D4C55"/>
    <w:rsid w:val="002D5E86"/>
    <w:rsid w:val="002D628F"/>
    <w:rsid w:val="002D6344"/>
    <w:rsid w:val="002D6EA9"/>
    <w:rsid w:val="002E13E6"/>
    <w:rsid w:val="002E2DED"/>
    <w:rsid w:val="002E48BC"/>
    <w:rsid w:val="002E5059"/>
    <w:rsid w:val="002E6130"/>
    <w:rsid w:val="002E6535"/>
    <w:rsid w:val="002E6DED"/>
    <w:rsid w:val="002E761D"/>
    <w:rsid w:val="002E7AF2"/>
    <w:rsid w:val="002F109C"/>
    <w:rsid w:val="002F336B"/>
    <w:rsid w:val="002F4181"/>
    <w:rsid w:val="002F4B8B"/>
    <w:rsid w:val="002F642D"/>
    <w:rsid w:val="00300956"/>
    <w:rsid w:val="0030258A"/>
    <w:rsid w:val="003026BD"/>
    <w:rsid w:val="0030273B"/>
    <w:rsid w:val="00302CD5"/>
    <w:rsid w:val="00303228"/>
    <w:rsid w:val="00303760"/>
    <w:rsid w:val="00310684"/>
    <w:rsid w:val="00310755"/>
    <w:rsid w:val="00311157"/>
    <w:rsid w:val="00311C2A"/>
    <w:rsid w:val="00311E82"/>
    <w:rsid w:val="003120ED"/>
    <w:rsid w:val="00312C74"/>
    <w:rsid w:val="003130B6"/>
    <w:rsid w:val="00313937"/>
    <w:rsid w:val="003143DF"/>
    <w:rsid w:val="003148B2"/>
    <w:rsid w:val="0031515B"/>
    <w:rsid w:val="00315162"/>
    <w:rsid w:val="00315376"/>
    <w:rsid w:val="0031693B"/>
    <w:rsid w:val="00316FA8"/>
    <w:rsid w:val="00317187"/>
    <w:rsid w:val="00321089"/>
    <w:rsid w:val="003213EB"/>
    <w:rsid w:val="003215EE"/>
    <w:rsid w:val="00321990"/>
    <w:rsid w:val="003224F0"/>
    <w:rsid w:val="00322953"/>
    <w:rsid w:val="00322B0D"/>
    <w:rsid w:val="00322B5A"/>
    <w:rsid w:val="003232E9"/>
    <w:rsid w:val="00323719"/>
    <w:rsid w:val="0032499A"/>
    <w:rsid w:val="00324CDE"/>
    <w:rsid w:val="0032741D"/>
    <w:rsid w:val="003300EF"/>
    <w:rsid w:val="00330FFB"/>
    <w:rsid w:val="00331764"/>
    <w:rsid w:val="00331B10"/>
    <w:rsid w:val="0033259C"/>
    <w:rsid w:val="0033271E"/>
    <w:rsid w:val="00333F8E"/>
    <w:rsid w:val="003341F7"/>
    <w:rsid w:val="0033538D"/>
    <w:rsid w:val="00335856"/>
    <w:rsid w:val="003365A2"/>
    <w:rsid w:val="00341DB1"/>
    <w:rsid w:val="00342259"/>
    <w:rsid w:val="003427A3"/>
    <w:rsid w:val="00342E48"/>
    <w:rsid w:val="00342E58"/>
    <w:rsid w:val="00343A24"/>
    <w:rsid w:val="0034418F"/>
    <w:rsid w:val="00346CC1"/>
    <w:rsid w:val="00347FEC"/>
    <w:rsid w:val="00350771"/>
    <w:rsid w:val="003509DF"/>
    <w:rsid w:val="00352214"/>
    <w:rsid w:val="00352B56"/>
    <w:rsid w:val="00353144"/>
    <w:rsid w:val="00353998"/>
    <w:rsid w:val="003546C8"/>
    <w:rsid w:val="00356167"/>
    <w:rsid w:val="00356AC2"/>
    <w:rsid w:val="00356B0C"/>
    <w:rsid w:val="00356F45"/>
    <w:rsid w:val="003574FD"/>
    <w:rsid w:val="003604FF"/>
    <w:rsid w:val="0036064D"/>
    <w:rsid w:val="00361821"/>
    <w:rsid w:val="00361AAD"/>
    <w:rsid w:val="00361F3D"/>
    <w:rsid w:val="00362BB0"/>
    <w:rsid w:val="00364222"/>
    <w:rsid w:val="00364841"/>
    <w:rsid w:val="00366862"/>
    <w:rsid w:val="00366B74"/>
    <w:rsid w:val="003716D1"/>
    <w:rsid w:val="00371CCD"/>
    <w:rsid w:val="00371D19"/>
    <w:rsid w:val="0037361E"/>
    <w:rsid w:val="003747DB"/>
    <w:rsid w:val="00375146"/>
    <w:rsid w:val="00375B95"/>
    <w:rsid w:val="0037736C"/>
    <w:rsid w:val="003774C0"/>
    <w:rsid w:val="00381138"/>
    <w:rsid w:val="00381F95"/>
    <w:rsid w:val="00382689"/>
    <w:rsid w:val="00382C9C"/>
    <w:rsid w:val="0038626B"/>
    <w:rsid w:val="003868A2"/>
    <w:rsid w:val="00387293"/>
    <w:rsid w:val="00391B8B"/>
    <w:rsid w:val="00391D78"/>
    <w:rsid w:val="003924CF"/>
    <w:rsid w:val="0039364E"/>
    <w:rsid w:val="003936E9"/>
    <w:rsid w:val="00394116"/>
    <w:rsid w:val="00395BD3"/>
    <w:rsid w:val="00396199"/>
    <w:rsid w:val="003967C6"/>
    <w:rsid w:val="00396DE1"/>
    <w:rsid w:val="003A0BAD"/>
    <w:rsid w:val="003A2417"/>
    <w:rsid w:val="003A261B"/>
    <w:rsid w:val="003A4B72"/>
    <w:rsid w:val="003A5E74"/>
    <w:rsid w:val="003A6892"/>
    <w:rsid w:val="003A6D87"/>
    <w:rsid w:val="003A710A"/>
    <w:rsid w:val="003A7BDE"/>
    <w:rsid w:val="003B0C2D"/>
    <w:rsid w:val="003B0E8A"/>
    <w:rsid w:val="003B109A"/>
    <w:rsid w:val="003B122A"/>
    <w:rsid w:val="003B1462"/>
    <w:rsid w:val="003B1E89"/>
    <w:rsid w:val="003B1ECF"/>
    <w:rsid w:val="003B1F88"/>
    <w:rsid w:val="003B3073"/>
    <w:rsid w:val="003B3731"/>
    <w:rsid w:val="003B450D"/>
    <w:rsid w:val="003B49FD"/>
    <w:rsid w:val="003B4B4D"/>
    <w:rsid w:val="003B55DB"/>
    <w:rsid w:val="003B5FBF"/>
    <w:rsid w:val="003B62C2"/>
    <w:rsid w:val="003B659E"/>
    <w:rsid w:val="003B6A5B"/>
    <w:rsid w:val="003B7233"/>
    <w:rsid w:val="003B7760"/>
    <w:rsid w:val="003C0F57"/>
    <w:rsid w:val="003C1015"/>
    <w:rsid w:val="003C155F"/>
    <w:rsid w:val="003C201D"/>
    <w:rsid w:val="003C2541"/>
    <w:rsid w:val="003C275E"/>
    <w:rsid w:val="003C29A0"/>
    <w:rsid w:val="003C29AE"/>
    <w:rsid w:val="003C3265"/>
    <w:rsid w:val="003C3AE7"/>
    <w:rsid w:val="003C4FDE"/>
    <w:rsid w:val="003C54A3"/>
    <w:rsid w:val="003C59E0"/>
    <w:rsid w:val="003C619A"/>
    <w:rsid w:val="003C6402"/>
    <w:rsid w:val="003C695A"/>
    <w:rsid w:val="003C73EB"/>
    <w:rsid w:val="003C79D8"/>
    <w:rsid w:val="003C7E9D"/>
    <w:rsid w:val="003D027C"/>
    <w:rsid w:val="003D227F"/>
    <w:rsid w:val="003D31F8"/>
    <w:rsid w:val="003D47C9"/>
    <w:rsid w:val="003D4807"/>
    <w:rsid w:val="003D490F"/>
    <w:rsid w:val="003D50E6"/>
    <w:rsid w:val="003D5BD3"/>
    <w:rsid w:val="003D7175"/>
    <w:rsid w:val="003E0E01"/>
    <w:rsid w:val="003E0FB2"/>
    <w:rsid w:val="003E2D2D"/>
    <w:rsid w:val="003E31E5"/>
    <w:rsid w:val="003E3AAA"/>
    <w:rsid w:val="003E3E21"/>
    <w:rsid w:val="003E48F3"/>
    <w:rsid w:val="003E4EEB"/>
    <w:rsid w:val="003E58DF"/>
    <w:rsid w:val="003E6D46"/>
    <w:rsid w:val="003F00CA"/>
    <w:rsid w:val="003F0196"/>
    <w:rsid w:val="003F064C"/>
    <w:rsid w:val="003F1548"/>
    <w:rsid w:val="003F26DF"/>
    <w:rsid w:val="003F2A1C"/>
    <w:rsid w:val="003F3053"/>
    <w:rsid w:val="003F3408"/>
    <w:rsid w:val="003F3E2D"/>
    <w:rsid w:val="003F3F93"/>
    <w:rsid w:val="003F4289"/>
    <w:rsid w:val="003F463B"/>
    <w:rsid w:val="003F4B44"/>
    <w:rsid w:val="003F59DC"/>
    <w:rsid w:val="003F68BB"/>
    <w:rsid w:val="003F6D5D"/>
    <w:rsid w:val="003F78BA"/>
    <w:rsid w:val="003F79D4"/>
    <w:rsid w:val="0040005B"/>
    <w:rsid w:val="00400166"/>
    <w:rsid w:val="0040021B"/>
    <w:rsid w:val="00400B39"/>
    <w:rsid w:val="00400B84"/>
    <w:rsid w:val="00400CCB"/>
    <w:rsid w:val="00401318"/>
    <w:rsid w:val="00401CA2"/>
    <w:rsid w:val="00402DEB"/>
    <w:rsid w:val="00403189"/>
    <w:rsid w:val="00403CE9"/>
    <w:rsid w:val="00404C4C"/>
    <w:rsid w:val="0040611E"/>
    <w:rsid w:val="00406CBA"/>
    <w:rsid w:val="00410517"/>
    <w:rsid w:val="004126A5"/>
    <w:rsid w:val="0041423F"/>
    <w:rsid w:val="00414BD4"/>
    <w:rsid w:val="00414F81"/>
    <w:rsid w:val="00415884"/>
    <w:rsid w:val="00417D76"/>
    <w:rsid w:val="00420837"/>
    <w:rsid w:val="004210A6"/>
    <w:rsid w:val="00421100"/>
    <w:rsid w:val="004218E3"/>
    <w:rsid w:val="004219F7"/>
    <w:rsid w:val="00422466"/>
    <w:rsid w:val="004245EF"/>
    <w:rsid w:val="00424BC5"/>
    <w:rsid w:val="0042616A"/>
    <w:rsid w:val="004269FA"/>
    <w:rsid w:val="00426B9A"/>
    <w:rsid w:val="00426BFA"/>
    <w:rsid w:val="00426FC3"/>
    <w:rsid w:val="00427F8D"/>
    <w:rsid w:val="00430E7D"/>
    <w:rsid w:val="00432590"/>
    <w:rsid w:val="00433E00"/>
    <w:rsid w:val="004341F4"/>
    <w:rsid w:val="00436A0F"/>
    <w:rsid w:val="00437150"/>
    <w:rsid w:val="00437233"/>
    <w:rsid w:val="0043750A"/>
    <w:rsid w:val="00437D94"/>
    <w:rsid w:val="004414E8"/>
    <w:rsid w:val="00441600"/>
    <w:rsid w:val="0044192E"/>
    <w:rsid w:val="00443063"/>
    <w:rsid w:val="004433C0"/>
    <w:rsid w:val="00443AB0"/>
    <w:rsid w:val="0044430C"/>
    <w:rsid w:val="00445608"/>
    <w:rsid w:val="00445685"/>
    <w:rsid w:val="00445C01"/>
    <w:rsid w:val="004464AE"/>
    <w:rsid w:val="004467B4"/>
    <w:rsid w:val="0044748D"/>
    <w:rsid w:val="00447577"/>
    <w:rsid w:val="00452A69"/>
    <w:rsid w:val="00452C55"/>
    <w:rsid w:val="004534D0"/>
    <w:rsid w:val="00453A05"/>
    <w:rsid w:val="00453AEA"/>
    <w:rsid w:val="00454893"/>
    <w:rsid w:val="00454933"/>
    <w:rsid w:val="00455107"/>
    <w:rsid w:val="00455B60"/>
    <w:rsid w:val="00456027"/>
    <w:rsid w:val="0045645F"/>
    <w:rsid w:val="00456753"/>
    <w:rsid w:val="0046008E"/>
    <w:rsid w:val="00460134"/>
    <w:rsid w:val="004613E7"/>
    <w:rsid w:val="004617B0"/>
    <w:rsid w:val="004632F9"/>
    <w:rsid w:val="00463D5B"/>
    <w:rsid w:val="00463E19"/>
    <w:rsid w:val="004641AE"/>
    <w:rsid w:val="00464A23"/>
    <w:rsid w:val="004664F4"/>
    <w:rsid w:val="00466675"/>
    <w:rsid w:val="0046775E"/>
    <w:rsid w:val="00467979"/>
    <w:rsid w:val="004706BD"/>
    <w:rsid w:val="00470ED5"/>
    <w:rsid w:val="0047163B"/>
    <w:rsid w:val="0047280F"/>
    <w:rsid w:val="00473203"/>
    <w:rsid w:val="004732E9"/>
    <w:rsid w:val="00473D5D"/>
    <w:rsid w:val="00474654"/>
    <w:rsid w:val="00475AA4"/>
    <w:rsid w:val="00475EA4"/>
    <w:rsid w:val="004764B5"/>
    <w:rsid w:val="00476715"/>
    <w:rsid w:val="00477011"/>
    <w:rsid w:val="0048030E"/>
    <w:rsid w:val="00481CA8"/>
    <w:rsid w:val="00481D40"/>
    <w:rsid w:val="00481DBB"/>
    <w:rsid w:val="0048372B"/>
    <w:rsid w:val="00483E7D"/>
    <w:rsid w:val="004854BB"/>
    <w:rsid w:val="004862E2"/>
    <w:rsid w:val="004916B4"/>
    <w:rsid w:val="004925A0"/>
    <w:rsid w:val="004928AF"/>
    <w:rsid w:val="00494493"/>
    <w:rsid w:val="004955DC"/>
    <w:rsid w:val="00495AD8"/>
    <w:rsid w:val="0049637C"/>
    <w:rsid w:val="00496606"/>
    <w:rsid w:val="00496E27"/>
    <w:rsid w:val="00496FBD"/>
    <w:rsid w:val="00497C22"/>
    <w:rsid w:val="00497C58"/>
    <w:rsid w:val="004A18CD"/>
    <w:rsid w:val="004A2D79"/>
    <w:rsid w:val="004A4230"/>
    <w:rsid w:val="004A44CA"/>
    <w:rsid w:val="004A4A33"/>
    <w:rsid w:val="004A5A57"/>
    <w:rsid w:val="004A5AE3"/>
    <w:rsid w:val="004A67E3"/>
    <w:rsid w:val="004A730F"/>
    <w:rsid w:val="004B04C0"/>
    <w:rsid w:val="004B4153"/>
    <w:rsid w:val="004B4537"/>
    <w:rsid w:val="004B6D08"/>
    <w:rsid w:val="004C0420"/>
    <w:rsid w:val="004C0F0F"/>
    <w:rsid w:val="004C1727"/>
    <w:rsid w:val="004C1895"/>
    <w:rsid w:val="004C1FCD"/>
    <w:rsid w:val="004C2253"/>
    <w:rsid w:val="004C235B"/>
    <w:rsid w:val="004C26FD"/>
    <w:rsid w:val="004C373D"/>
    <w:rsid w:val="004C58B4"/>
    <w:rsid w:val="004C6ED9"/>
    <w:rsid w:val="004C7822"/>
    <w:rsid w:val="004D0801"/>
    <w:rsid w:val="004D0F9D"/>
    <w:rsid w:val="004D2DE1"/>
    <w:rsid w:val="004D31BF"/>
    <w:rsid w:val="004D33E7"/>
    <w:rsid w:val="004D4712"/>
    <w:rsid w:val="004D540B"/>
    <w:rsid w:val="004D7B19"/>
    <w:rsid w:val="004E048D"/>
    <w:rsid w:val="004E16F7"/>
    <w:rsid w:val="004E1D57"/>
    <w:rsid w:val="004E1E36"/>
    <w:rsid w:val="004E1E81"/>
    <w:rsid w:val="004E2BF9"/>
    <w:rsid w:val="004E3139"/>
    <w:rsid w:val="004E338B"/>
    <w:rsid w:val="004E3761"/>
    <w:rsid w:val="004E5E66"/>
    <w:rsid w:val="004E7637"/>
    <w:rsid w:val="004E7ADB"/>
    <w:rsid w:val="004E7E66"/>
    <w:rsid w:val="004F06BE"/>
    <w:rsid w:val="004F070D"/>
    <w:rsid w:val="004F0F4B"/>
    <w:rsid w:val="004F1533"/>
    <w:rsid w:val="004F2164"/>
    <w:rsid w:val="004F3622"/>
    <w:rsid w:val="004F36E3"/>
    <w:rsid w:val="004F3F50"/>
    <w:rsid w:val="004F498F"/>
    <w:rsid w:val="004F59ED"/>
    <w:rsid w:val="004F6CCA"/>
    <w:rsid w:val="004F7F8C"/>
    <w:rsid w:val="00500258"/>
    <w:rsid w:val="0050042D"/>
    <w:rsid w:val="0050094E"/>
    <w:rsid w:val="00501B5F"/>
    <w:rsid w:val="00501E81"/>
    <w:rsid w:val="0050297B"/>
    <w:rsid w:val="00502E1A"/>
    <w:rsid w:val="00503B4D"/>
    <w:rsid w:val="00504EE9"/>
    <w:rsid w:val="0050510A"/>
    <w:rsid w:val="0050512B"/>
    <w:rsid w:val="00505E76"/>
    <w:rsid w:val="00507E9D"/>
    <w:rsid w:val="00512FFF"/>
    <w:rsid w:val="00513252"/>
    <w:rsid w:val="005133CD"/>
    <w:rsid w:val="00513AF3"/>
    <w:rsid w:val="00513CA3"/>
    <w:rsid w:val="00514CB5"/>
    <w:rsid w:val="00514E4F"/>
    <w:rsid w:val="00517084"/>
    <w:rsid w:val="0051778C"/>
    <w:rsid w:val="00520A0B"/>
    <w:rsid w:val="00521576"/>
    <w:rsid w:val="0052178E"/>
    <w:rsid w:val="005218E5"/>
    <w:rsid w:val="005225E2"/>
    <w:rsid w:val="00523FB2"/>
    <w:rsid w:val="005250E6"/>
    <w:rsid w:val="0052579C"/>
    <w:rsid w:val="00526951"/>
    <w:rsid w:val="005277FB"/>
    <w:rsid w:val="00527D68"/>
    <w:rsid w:val="005305DD"/>
    <w:rsid w:val="00530C10"/>
    <w:rsid w:val="00530D6C"/>
    <w:rsid w:val="005324B6"/>
    <w:rsid w:val="005333C5"/>
    <w:rsid w:val="005338AA"/>
    <w:rsid w:val="00534BE3"/>
    <w:rsid w:val="005355ED"/>
    <w:rsid w:val="005356B5"/>
    <w:rsid w:val="0053703A"/>
    <w:rsid w:val="00541337"/>
    <w:rsid w:val="00541B5E"/>
    <w:rsid w:val="00542B65"/>
    <w:rsid w:val="00542D23"/>
    <w:rsid w:val="00542D89"/>
    <w:rsid w:val="0054309E"/>
    <w:rsid w:val="005430CA"/>
    <w:rsid w:val="00543E95"/>
    <w:rsid w:val="0054442C"/>
    <w:rsid w:val="00544B9A"/>
    <w:rsid w:val="005472B2"/>
    <w:rsid w:val="00547B23"/>
    <w:rsid w:val="00547C04"/>
    <w:rsid w:val="00547CF2"/>
    <w:rsid w:val="00547F3A"/>
    <w:rsid w:val="00547F59"/>
    <w:rsid w:val="00550285"/>
    <w:rsid w:val="005502A7"/>
    <w:rsid w:val="005503A0"/>
    <w:rsid w:val="00551043"/>
    <w:rsid w:val="005513FF"/>
    <w:rsid w:val="00551AE5"/>
    <w:rsid w:val="00551F77"/>
    <w:rsid w:val="005522A3"/>
    <w:rsid w:val="00552757"/>
    <w:rsid w:val="00554FD3"/>
    <w:rsid w:val="00557551"/>
    <w:rsid w:val="00560D36"/>
    <w:rsid w:val="00560EFB"/>
    <w:rsid w:val="00561AA3"/>
    <w:rsid w:val="00561D2A"/>
    <w:rsid w:val="00562492"/>
    <w:rsid w:val="005624A5"/>
    <w:rsid w:val="005624E0"/>
    <w:rsid w:val="00562D26"/>
    <w:rsid w:val="005641B9"/>
    <w:rsid w:val="005657B1"/>
    <w:rsid w:val="00565AAE"/>
    <w:rsid w:val="0056644D"/>
    <w:rsid w:val="00567571"/>
    <w:rsid w:val="005701F3"/>
    <w:rsid w:val="0057051B"/>
    <w:rsid w:val="00571412"/>
    <w:rsid w:val="00572A20"/>
    <w:rsid w:val="00572E4C"/>
    <w:rsid w:val="005744A7"/>
    <w:rsid w:val="005744C9"/>
    <w:rsid w:val="00574E4D"/>
    <w:rsid w:val="00575BF3"/>
    <w:rsid w:val="00577397"/>
    <w:rsid w:val="00581618"/>
    <w:rsid w:val="00581D70"/>
    <w:rsid w:val="005824FC"/>
    <w:rsid w:val="00583068"/>
    <w:rsid w:val="005836F8"/>
    <w:rsid w:val="00583F83"/>
    <w:rsid w:val="0058472C"/>
    <w:rsid w:val="00585E5D"/>
    <w:rsid w:val="00586599"/>
    <w:rsid w:val="00586DF3"/>
    <w:rsid w:val="005918FA"/>
    <w:rsid w:val="005927BC"/>
    <w:rsid w:val="0059292E"/>
    <w:rsid w:val="00592A86"/>
    <w:rsid w:val="00593D50"/>
    <w:rsid w:val="0059601C"/>
    <w:rsid w:val="0059608D"/>
    <w:rsid w:val="005A0E8C"/>
    <w:rsid w:val="005A2DE1"/>
    <w:rsid w:val="005A4909"/>
    <w:rsid w:val="005A4EE6"/>
    <w:rsid w:val="005B227D"/>
    <w:rsid w:val="005B2350"/>
    <w:rsid w:val="005B280F"/>
    <w:rsid w:val="005B2819"/>
    <w:rsid w:val="005B3029"/>
    <w:rsid w:val="005B3D8B"/>
    <w:rsid w:val="005B4801"/>
    <w:rsid w:val="005B48F5"/>
    <w:rsid w:val="005B52C8"/>
    <w:rsid w:val="005B54A3"/>
    <w:rsid w:val="005B7C6F"/>
    <w:rsid w:val="005C1368"/>
    <w:rsid w:val="005C1B8C"/>
    <w:rsid w:val="005C1DD0"/>
    <w:rsid w:val="005C23A4"/>
    <w:rsid w:val="005C2598"/>
    <w:rsid w:val="005C359C"/>
    <w:rsid w:val="005C5EC8"/>
    <w:rsid w:val="005C6B47"/>
    <w:rsid w:val="005C6C0E"/>
    <w:rsid w:val="005C75FE"/>
    <w:rsid w:val="005C7611"/>
    <w:rsid w:val="005D0513"/>
    <w:rsid w:val="005D1CDC"/>
    <w:rsid w:val="005D1CDF"/>
    <w:rsid w:val="005D1E27"/>
    <w:rsid w:val="005D2BB7"/>
    <w:rsid w:val="005D3476"/>
    <w:rsid w:val="005D38E4"/>
    <w:rsid w:val="005D3BF9"/>
    <w:rsid w:val="005D4E7D"/>
    <w:rsid w:val="005D61B2"/>
    <w:rsid w:val="005D6319"/>
    <w:rsid w:val="005D67AC"/>
    <w:rsid w:val="005D6FFE"/>
    <w:rsid w:val="005D779D"/>
    <w:rsid w:val="005E0336"/>
    <w:rsid w:val="005E0BAD"/>
    <w:rsid w:val="005E0E41"/>
    <w:rsid w:val="005E123F"/>
    <w:rsid w:val="005E2347"/>
    <w:rsid w:val="005E2C4D"/>
    <w:rsid w:val="005E4BE3"/>
    <w:rsid w:val="005E5311"/>
    <w:rsid w:val="005E5533"/>
    <w:rsid w:val="005E5851"/>
    <w:rsid w:val="005E61A8"/>
    <w:rsid w:val="005E6BF6"/>
    <w:rsid w:val="005E77B1"/>
    <w:rsid w:val="005F0326"/>
    <w:rsid w:val="005F03FC"/>
    <w:rsid w:val="005F061A"/>
    <w:rsid w:val="005F08E6"/>
    <w:rsid w:val="005F0A0A"/>
    <w:rsid w:val="005F3876"/>
    <w:rsid w:val="005F3C3B"/>
    <w:rsid w:val="005F401E"/>
    <w:rsid w:val="005F48BC"/>
    <w:rsid w:val="005F4C6A"/>
    <w:rsid w:val="005F511A"/>
    <w:rsid w:val="005F6419"/>
    <w:rsid w:val="005F7334"/>
    <w:rsid w:val="00600B24"/>
    <w:rsid w:val="006012DE"/>
    <w:rsid w:val="00601F3F"/>
    <w:rsid w:val="006028C1"/>
    <w:rsid w:val="0060301D"/>
    <w:rsid w:val="00603CFD"/>
    <w:rsid w:val="00604B36"/>
    <w:rsid w:val="0060543D"/>
    <w:rsid w:val="00606677"/>
    <w:rsid w:val="00606AAB"/>
    <w:rsid w:val="00606FC7"/>
    <w:rsid w:val="006077EC"/>
    <w:rsid w:val="00607EB4"/>
    <w:rsid w:val="006104DD"/>
    <w:rsid w:val="00610FD6"/>
    <w:rsid w:val="00611C59"/>
    <w:rsid w:val="00611CB1"/>
    <w:rsid w:val="00612481"/>
    <w:rsid w:val="006130B5"/>
    <w:rsid w:val="00613249"/>
    <w:rsid w:val="00614C03"/>
    <w:rsid w:val="00614D01"/>
    <w:rsid w:val="00614DD8"/>
    <w:rsid w:val="0061568E"/>
    <w:rsid w:val="00615D12"/>
    <w:rsid w:val="00616281"/>
    <w:rsid w:val="006168D6"/>
    <w:rsid w:val="00616D90"/>
    <w:rsid w:val="00617400"/>
    <w:rsid w:val="00617C59"/>
    <w:rsid w:val="00621D4B"/>
    <w:rsid w:val="006220D2"/>
    <w:rsid w:val="0062413E"/>
    <w:rsid w:val="006247C8"/>
    <w:rsid w:val="00624C42"/>
    <w:rsid w:val="00624FBE"/>
    <w:rsid w:val="00625EEA"/>
    <w:rsid w:val="00630099"/>
    <w:rsid w:val="006300AA"/>
    <w:rsid w:val="00631377"/>
    <w:rsid w:val="00632D29"/>
    <w:rsid w:val="00634277"/>
    <w:rsid w:val="006347D7"/>
    <w:rsid w:val="006359BA"/>
    <w:rsid w:val="00637371"/>
    <w:rsid w:val="00637DC7"/>
    <w:rsid w:val="0064171D"/>
    <w:rsid w:val="00642675"/>
    <w:rsid w:val="0064319B"/>
    <w:rsid w:val="0064364D"/>
    <w:rsid w:val="0064462B"/>
    <w:rsid w:val="00644715"/>
    <w:rsid w:val="00645A21"/>
    <w:rsid w:val="00646171"/>
    <w:rsid w:val="0064649B"/>
    <w:rsid w:val="00646836"/>
    <w:rsid w:val="00651E80"/>
    <w:rsid w:val="00651F4E"/>
    <w:rsid w:val="006540F8"/>
    <w:rsid w:val="00654D89"/>
    <w:rsid w:val="00657627"/>
    <w:rsid w:val="00661656"/>
    <w:rsid w:val="00662C39"/>
    <w:rsid w:val="00662D9E"/>
    <w:rsid w:val="00663A53"/>
    <w:rsid w:val="00663C48"/>
    <w:rsid w:val="0066454C"/>
    <w:rsid w:val="00664950"/>
    <w:rsid w:val="00666564"/>
    <w:rsid w:val="0066774A"/>
    <w:rsid w:val="00667804"/>
    <w:rsid w:val="00670598"/>
    <w:rsid w:val="00670DF7"/>
    <w:rsid w:val="00675622"/>
    <w:rsid w:val="006761C4"/>
    <w:rsid w:val="0067654D"/>
    <w:rsid w:val="006766D0"/>
    <w:rsid w:val="00676909"/>
    <w:rsid w:val="006778EF"/>
    <w:rsid w:val="00680A55"/>
    <w:rsid w:val="00682996"/>
    <w:rsid w:val="00683220"/>
    <w:rsid w:val="00683A35"/>
    <w:rsid w:val="00687554"/>
    <w:rsid w:val="00687BB2"/>
    <w:rsid w:val="00687FA0"/>
    <w:rsid w:val="006902D4"/>
    <w:rsid w:val="00690F92"/>
    <w:rsid w:val="00691B02"/>
    <w:rsid w:val="00691F52"/>
    <w:rsid w:val="006924E3"/>
    <w:rsid w:val="0069409E"/>
    <w:rsid w:val="0069550A"/>
    <w:rsid w:val="00695B66"/>
    <w:rsid w:val="00696211"/>
    <w:rsid w:val="00696731"/>
    <w:rsid w:val="00696A28"/>
    <w:rsid w:val="00697283"/>
    <w:rsid w:val="0069796C"/>
    <w:rsid w:val="006A0B8C"/>
    <w:rsid w:val="006A0CB7"/>
    <w:rsid w:val="006A2363"/>
    <w:rsid w:val="006A3004"/>
    <w:rsid w:val="006A3C11"/>
    <w:rsid w:val="006A6797"/>
    <w:rsid w:val="006B0914"/>
    <w:rsid w:val="006B0C73"/>
    <w:rsid w:val="006B18FC"/>
    <w:rsid w:val="006B25B1"/>
    <w:rsid w:val="006B353B"/>
    <w:rsid w:val="006B3B93"/>
    <w:rsid w:val="006B534C"/>
    <w:rsid w:val="006B5594"/>
    <w:rsid w:val="006B581B"/>
    <w:rsid w:val="006B7010"/>
    <w:rsid w:val="006B792D"/>
    <w:rsid w:val="006B7980"/>
    <w:rsid w:val="006C0206"/>
    <w:rsid w:val="006C0219"/>
    <w:rsid w:val="006C0336"/>
    <w:rsid w:val="006C3095"/>
    <w:rsid w:val="006C3806"/>
    <w:rsid w:val="006C3C08"/>
    <w:rsid w:val="006C4180"/>
    <w:rsid w:val="006C51F7"/>
    <w:rsid w:val="006C5FE5"/>
    <w:rsid w:val="006C65C5"/>
    <w:rsid w:val="006D1702"/>
    <w:rsid w:val="006D1DF9"/>
    <w:rsid w:val="006D2719"/>
    <w:rsid w:val="006D296C"/>
    <w:rsid w:val="006D2B05"/>
    <w:rsid w:val="006D3D21"/>
    <w:rsid w:val="006D555E"/>
    <w:rsid w:val="006D57DF"/>
    <w:rsid w:val="006D5A40"/>
    <w:rsid w:val="006D62F7"/>
    <w:rsid w:val="006D65FE"/>
    <w:rsid w:val="006D67A2"/>
    <w:rsid w:val="006D6DE2"/>
    <w:rsid w:val="006D7193"/>
    <w:rsid w:val="006D78BF"/>
    <w:rsid w:val="006D79A9"/>
    <w:rsid w:val="006E1030"/>
    <w:rsid w:val="006E1151"/>
    <w:rsid w:val="006E196F"/>
    <w:rsid w:val="006E19B7"/>
    <w:rsid w:val="006E1F8B"/>
    <w:rsid w:val="006E311E"/>
    <w:rsid w:val="006E3636"/>
    <w:rsid w:val="006E4AA7"/>
    <w:rsid w:val="006E4B87"/>
    <w:rsid w:val="006E5A7D"/>
    <w:rsid w:val="006E6311"/>
    <w:rsid w:val="006E63E6"/>
    <w:rsid w:val="006E6ADD"/>
    <w:rsid w:val="006E6BE3"/>
    <w:rsid w:val="006E7238"/>
    <w:rsid w:val="006E78A7"/>
    <w:rsid w:val="006F1BA0"/>
    <w:rsid w:val="006F1FF6"/>
    <w:rsid w:val="006F271E"/>
    <w:rsid w:val="006F2876"/>
    <w:rsid w:val="006F4ADE"/>
    <w:rsid w:val="006F6915"/>
    <w:rsid w:val="006F7143"/>
    <w:rsid w:val="006F7B77"/>
    <w:rsid w:val="00701340"/>
    <w:rsid w:val="00702603"/>
    <w:rsid w:val="007048FF"/>
    <w:rsid w:val="00704F23"/>
    <w:rsid w:val="00705316"/>
    <w:rsid w:val="007056F2"/>
    <w:rsid w:val="00705930"/>
    <w:rsid w:val="00705D2C"/>
    <w:rsid w:val="0070627E"/>
    <w:rsid w:val="0070636C"/>
    <w:rsid w:val="00706F69"/>
    <w:rsid w:val="007108F8"/>
    <w:rsid w:val="00710F5D"/>
    <w:rsid w:val="00711AC0"/>
    <w:rsid w:val="00712F70"/>
    <w:rsid w:val="00713B3E"/>
    <w:rsid w:val="007145FF"/>
    <w:rsid w:val="007148CF"/>
    <w:rsid w:val="00714DC3"/>
    <w:rsid w:val="00715B2A"/>
    <w:rsid w:val="00716774"/>
    <w:rsid w:val="00717AEC"/>
    <w:rsid w:val="00720161"/>
    <w:rsid w:val="00720810"/>
    <w:rsid w:val="00721B16"/>
    <w:rsid w:val="00721B4B"/>
    <w:rsid w:val="00722651"/>
    <w:rsid w:val="00723621"/>
    <w:rsid w:val="00725322"/>
    <w:rsid w:val="00726828"/>
    <w:rsid w:val="00731430"/>
    <w:rsid w:val="007327FE"/>
    <w:rsid w:val="00732933"/>
    <w:rsid w:val="00733013"/>
    <w:rsid w:val="00733B21"/>
    <w:rsid w:val="00734D7C"/>
    <w:rsid w:val="00734F14"/>
    <w:rsid w:val="00735E8F"/>
    <w:rsid w:val="00736113"/>
    <w:rsid w:val="00736949"/>
    <w:rsid w:val="007373AE"/>
    <w:rsid w:val="00737CD4"/>
    <w:rsid w:val="00737F6A"/>
    <w:rsid w:val="00740936"/>
    <w:rsid w:val="00741DB8"/>
    <w:rsid w:val="00742388"/>
    <w:rsid w:val="007435CB"/>
    <w:rsid w:val="00744408"/>
    <w:rsid w:val="00744A83"/>
    <w:rsid w:val="00744DB3"/>
    <w:rsid w:val="007450F1"/>
    <w:rsid w:val="007459AA"/>
    <w:rsid w:val="00746A05"/>
    <w:rsid w:val="00750E4E"/>
    <w:rsid w:val="00751515"/>
    <w:rsid w:val="0075285A"/>
    <w:rsid w:val="00752BD6"/>
    <w:rsid w:val="00752BEA"/>
    <w:rsid w:val="00752E47"/>
    <w:rsid w:val="007545C6"/>
    <w:rsid w:val="00754FEF"/>
    <w:rsid w:val="00755944"/>
    <w:rsid w:val="007562D1"/>
    <w:rsid w:val="00756B1E"/>
    <w:rsid w:val="007572D5"/>
    <w:rsid w:val="00757757"/>
    <w:rsid w:val="00757E28"/>
    <w:rsid w:val="007626B7"/>
    <w:rsid w:val="007633FF"/>
    <w:rsid w:val="00765401"/>
    <w:rsid w:val="007656D6"/>
    <w:rsid w:val="00765F75"/>
    <w:rsid w:val="0076624B"/>
    <w:rsid w:val="00770ED7"/>
    <w:rsid w:val="007716DF"/>
    <w:rsid w:val="00771BA5"/>
    <w:rsid w:val="00772343"/>
    <w:rsid w:val="00772DE2"/>
    <w:rsid w:val="00772E8A"/>
    <w:rsid w:val="00774683"/>
    <w:rsid w:val="00774AB8"/>
    <w:rsid w:val="00775B75"/>
    <w:rsid w:val="007768A1"/>
    <w:rsid w:val="007773E1"/>
    <w:rsid w:val="00777636"/>
    <w:rsid w:val="00781707"/>
    <w:rsid w:val="007817A8"/>
    <w:rsid w:val="0078212B"/>
    <w:rsid w:val="00782785"/>
    <w:rsid w:val="00782788"/>
    <w:rsid w:val="0078280D"/>
    <w:rsid w:val="00782C6F"/>
    <w:rsid w:val="0078417C"/>
    <w:rsid w:val="0078493C"/>
    <w:rsid w:val="00784DF6"/>
    <w:rsid w:val="00785232"/>
    <w:rsid w:val="00785FB6"/>
    <w:rsid w:val="00787FD2"/>
    <w:rsid w:val="0079157A"/>
    <w:rsid w:val="007933CB"/>
    <w:rsid w:val="00793866"/>
    <w:rsid w:val="007956EC"/>
    <w:rsid w:val="00796246"/>
    <w:rsid w:val="0079794E"/>
    <w:rsid w:val="00797C2D"/>
    <w:rsid w:val="007A164A"/>
    <w:rsid w:val="007A1D35"/>
    <w:rsid w:val="007A2588"/>
    <w:rsid w:val="007A426B"/>
    <w:rsid w:val="007A5054"/>
    <w:rsid w:val="007A7AC0"/>
    <w:rsid w:val="007B04A4"/>
    <w:rsid w:val="007B0FEC"/>
    <w:rsid w:val="007B1243"/>
    <w:rsid w:val="007B186C"/>
    <w:rsid w:val="007B5BD2"/>
    <w:rsid w:val="007B6697"/>
    <w:rsid w:val="007B6D8A"/>
    <w:rsid w:val="007C043B"/>
    <w:rsid w:val="007C0A9F"/>
    <w:rsid w:val="007C1696"/>
    <w:rsid w:val="007C304B"/>
    <w:rsid w:val="007C3ED0"/>
    <w:rsid w:val="007C48C4"/>
    <w:rsid w:val="007C4EC2"/>
    <w:rsid w:val="007C5971"/>
    <w:rsid w:val="007C5B4D"/>
    <w:rsid w:val="007C63D9"/>
    <w:rsid w:val="007C69DB"/>
    <w:rsid w:val="007C6DC9"/>
    <w:rsid w:val="007C71FE"/>
    <w:rsid w:val="007C7595"/>
    <w:rsid w:val="007C7E74"/>
    <w:rsid w:val="007D0487"/>
    <w:rsid w:val="007D0A7F"/>
    <w:rsid w:val="007D11F2"/>
    <w:rsid w:val="007D2434"/>
    <w:rsid w:val="007D2A0E"/>
    <w:rsid w:val="007D3879"/>
    <w:rsid w:val="007D3C25"/>
    <w:rsid w:val="007D3E3D"/>
    <w:rsid w:val="007D3E66"/>
    <w:rsid w:val="007D52AF"/>
    <w:rsid w:val="007D7228"/>
    <w:rsid w:val="007D7DEC"/>
    <w:rsid w:val="007E0180"/>
    <w:rsid w:val="007E047A"/>
    <w:rsid w:val="007E1FF0"/>
    <w:rsid w:val="007E2FC2"/>
    <w:rsid w:val="007E3022"/>
    <w:rsid w:val="007E366D"/>
    <w:rsid w:val="007E3DAF"/>
    <w:rsid w:val="007E42DC"/>
    <w:rsid w:val="007E43EE"/>
    <w:rsid w:val="007E4668"/>
    <w:rsid w:val="007E4C2A"/>
    <w:rsid w:val="007E568C"/>
    <w:rsid w:val="007E6291"/>
    <w:rsid w:val="007E69BC"/>
    <w:rsid w:val="007E7B84"/>
    <w:rsid w:val="007E7EC8"/>
    <w:rsid w:val="007F0312"/>
    <w:rsid w:val="007F0501"/>
    <w:rsid w:val="007F0AB7"/>
    <w:rsid w:val="007F0AEB"/>
    <w:rsid w:val="007F0CC9"/>
    <w:rsid w:val="007F0ED6"/>
    <w:rsid w:val="007F38C8"/>
    <w:rsid w:val="007F54B9"/>
    <w:rsid w:val="007F5A17"/>
    <w:rsid w:val="007F5B63"/>
    <w:rsid w:val="007F6175"/>
    <w:rsid w:val="007F6C87"/>
    <w:rsid w:val="007F76F9"/>
    <w:rsid w:val="007F773F"/>
    <w:rsid w:val="007F79D9"/>
    <w:rsid w:val="00800C49"/>
    <w:rsid w:val="00800F9A"/>
    <w:rsid w:val="00802FE1"/>
    <w:rsid w:val="00803E6B"/>
    <w:rsid w:val="00804097"/>
    <w:rsid w:val="00805A8C"/>
    <w:rsid w:val="00805CFF"/>
    <w:rsid w:val="0080603B"/>
    <w:rsid w:val="00806961"/>
    <w:rsid w:val="00806A76"/>
    <w:rsid w:val="00806C49"/>
    <w:rsid w:val="00810706"/>
    <w:rsid w:val="00810FAA"/>
    <w:rsid w:val="008111C0"/>
    <w:rsid w:val="00811C9D"/>
    <w:rsid w:val="008127F8"/>
    <w:rsid w:val="008129BA"/>
    <w:rsid w:val="00812C1D"/>
    <w:rsid w:val="0081378C"/>
    <w:rsid w:val="0081534E"/>
    <w:rsid w:val="00816C80"/>
    <w:rsid w:val="0081797B"/>
    <w:rsid w:val="00821051"/>
    <w:rsid w:val="008213EF"/>
    <w:rsid w:val="00821BF5"/>
    <w:rsid w:val="00823185"/>
    <w:rsid w:val="008232ED"/>
    <w:rsid w:val="00825206"/>
    <w:rsid w:val="00825BFF"/>
    <w:rsid w:val="0082714F"/>
    <w:rsid w:val="0082796A"/>
    <w:rsid w:val="00827A05"/>
    <w:rsid w:val="00827DD9"/>
    <w:rsid w:val="00830C52"/>
    <w:rsid w:val="008310D7"/>
    <w:rsid w:val="00831135"/>
    <w:rsid w:val="00831696"/>
    <w:rsid w:val="00831D65"/>
    <w:rsid w:val="008325A9"/>
    <w:rsid w:val="0083278B"/>
    <w:rsid w:val="00833971"/>
    <w:rsid w:val="008341B2"/>
    <w:rsid w:val="0083526E"/>
    <w:rsid w:val="0083707A"/>
    <w:rsid w:val="00840B11"/>
    <w:rsid w:val="00841BCD"/>
    <w:rsid w:val="00841FFD"/>
    <w:rsid w:val="008430DE"/>
    <w:rsid w:val="00843B07"/>
    <w:rsid w:val="0084556D"/>
    <w:rsid w:val="008459C9"/>
    <w:rsid w:val="00845AB3"/>
    <w:rsid w:val="00845FC3"/>
    <w:rsid w:val="00847264"/>
    <w:rsid w:val="008472F1"/>
    <w:rsid w:val="00847583"/>
    <w:rsid w:val="00847AB2"/>
    <w:rsid w:val="00850118"/>
    <w:rsid w:val="00850851"/>
    <w:rsid w:val="00850AD7"/>
    <w:rsid w:val="00850F66"/>
    <w:rsid w:val="008513A5"/>
    <w:rsid w:val="00851A8E"/>
    <w:rsid w:val="0085204F"/>
    <w:rsid w:val="0085365B"/>
    <w:rsid w:val="00853E36"/>
    <w:rsid w:val="00854970"/>
    <w:rsid w:val="00854D82"/>
    <w:rsid w:val="0085514E"/>
    <w:rsid w:val="00855C67"/>
    <w:rsid w:val="0085705F"/>
    <w:rsid w:val="00857B18"/>
    <w:rsid w:val="00857B50"/>
    <w:rsid w:val="00860715"/>
    <w:rsid w:val="00864D95"/>
    <w:rsid w:val="00865694"/>
    <w:rsid w:val="00867E39"/>
    <w:rsid w:val="00867E70"/>
    <w:rsid w:val="008708FF"/>
    <w:rsid w:val="0087091C"/>
    <w:rsid w:val="008709FB"/>
    <w:rsid w:val="00870E39"/>
    <w:rsid w:val="00871258"/>
    <w:rsid w:val="00871820"/>
    <w:rsid w:val="008727DF"/>
    <w:rsid w:val="008727EF"/>
    <w:rsid w:val="008731E5"/>
    <w:rsid w:val="00873B03"/>
    <w:rsid w:val="0087563C"/>
    <w:rsid w:val="00875C56"/>
    <w:rsid w:val="008768CD"/>
    <w:rsid w:val="00880271"/>
    <w:rsid w:val="008826C1"/>
    <w:rsid w:val="00882D98"/>
    <w:rsid w:val="00882FE7"/>
    <w:rsid w:val="0088326C"/>
    <w:rsid w:val="008835D9"/>
    <w:rsid w:val="00883B52"/>
    <w:rsid w:val="00883DFD"/>
    <w:rsid w:val="008855EF"/>
    <w:rsid w:val="0088569A"/>
    <w:rsid w:val="0088623C"/>
    <w:rsid w:val="00886427"/>
    <w:rsid w:val="00886A08"/>
    <w:rsid w:val="008871D8"/>
    <w:rsid w:val="00887C09"/>
    <w:rsid w:val="0089044E"/>
    <w:rsid w:val="008908E6"/>
    <w:rsid w:val="00890CBE"/>
    <w:rsid w:val="00891378"/>
    <w:rsid w:val="008919CB"/>
    <w:rsid w:val="0089210C"/>
    <w:rsid w:val="00892D27"/>
    <w:rsid w:val="0089319B"/>
    <w:rsid w:val="00893D2E"/>
    <w:rsid w:val="00895419"/>
    <w:rsid w:val="00896045"/>
    <w:rsid w:val="00896496"/>
    <w:rsid w:val="00896526"/>
    <w:rsid w:val="00896CDD"/>
    <w:rsid w:val="008970AF"/>
    <w:rsid w:val="008977BE"/>
    <w:rsid w:val="008A1BF7"/>
    <w:rsid w:val="008A2361"/>
    <w:rsid w:val="008A2616"/>
    <w:rsid w:val="008A3420"/>
    <w:rsid w:val="008A47C8"/>
    <w:rsid w:val="008A4E65"/>
    <w:rsid w:val="008A5A57"/>
    <w:rsid w:val="008A5B0E"/>
    <w:rsid w:val="008B0153"/>
    <w:rsid w:val="008B0961"/>
    <w:rsid w:val="008B111A"/>
    <w:rsid w:val="008B13BE"/>
    <w:rsid w:val="008B1E57"/>
    <w:rsid w:val="008B1FE7"/>
    <w:rsid w:val="008B2019"/>
    <w:rsid w:val="008B2F32"/>
    <w:rsid w:val="008B2F96"/>
    <w:rsid w:val="008B33C8"/>
    <w:rsid w:val="008B3956"/>
    <w:rsid w:val="008B435D"/>
    <w:rsid w:val="008B522D"/>
    <w:rsid w:val="008B54D8"/>
    <w:rsid w:val="008B657F"/>
    <w:rsid w:val="008B6BC2"/>
    <w:rsid w:val="008B761C"/>
    <w:rsid w:val="008C02C6"/>
    <w:rsid w:val="008C0523"/>
    <w:rsid w:val="008C14DF"/>
    <w:rsid w:val="008C23B5"/>
    <w:rsid w:val="008C2E8F"/>
    <w:rsid w:val="008C39F7"/>
    <w:rsid w:val="008C5F13"/>
    <w:rsid w:val="008C6CF7"/>
    <w:rsid w:val="008C71E7"/>
    <w:rsid w:val="008C7613"/>
    <w:rsid w:val="008C7A93"/>
    <w:rsid w:val="008C7B7E"/>
    <w:rsid w:val="008D09B3"/>
    <w:rsid w:val="008D0AE1"/>
    <w:rsid w:val="008D1679"/>
    <w:rsid w:val="008D212D"/>
    <w:rsid w:val="008D4637"/>
    <w:rsid w:val="008D4974"/>
    <w:rsid w:val="008D4FF2"/>
    <w:rsid w:val="008D585F"/>
    <w:rsid w:val="008D6369"/>
    <w:rsid w:val="008D6619"/>
    <w:rsid w:val="008D7503"/>
    <w:rsid w:val="008D797A"/>
    <w:rsid w:val="008E1281"/>
    <w:rsid w:val="008E272F"/>
    <w:rsid w:val="008E2DB6"/>
    <w:rsid w:val="008E3E40"/>
    <w:rsid w:val="008E444F"/>
    <w:rsid w:val="008E5595"/>
    <w:rsid w:val="008E6496"/>
    <w:rsid w:val="008E65D3"/>
    <w:rsid w:val="008E6E33"/>
    <w:rsid w:val="008E731C"/>
    <w:rsid w:val="008F23B1"/>
    <w:rsid w:val="008F2BF3"/>
    <w:rsid w:val="008F3B85"/>
    <w:rsid w:val="008F649F"/>
    <w:rsid w:val="008F65ED"/>
    <w:rsid w:val="008F7521"/>
    <w:rsid w:val="008F7FB0"/>
    <w:rsid w:val="0090091A"/>
    <w:rsid w:val="00902342"/>
    <w:rsid w:val="009028C2"/>
    <w:rsid w:val="0090373B"/>
    <w:rsid w:val="00904016"/>
    <w:rsid w:val="009042BD"/>
    <w:rsid w:val="00904A9A"/>
    <w:rsid w:val="00904FE4"/>
    <w:rsid w:val="009060D4"/>
    <w:rsid w:val="00906F37"/>
    <w:rsid w:val="00911EF1"/>
    <w:rsid w:val="009122EB"/>
    <w:rsid w:val="009127B9"/>
    <w:rsid w:val="00912971"/>
    <w:rsid w:val="009133AE"/>
    <w:rsid w:val="0091353D"/>
    <w:rsid w:val="009135E5"/>
    <w:rsid w:val="00913D57"/>
    <w:rsid w:val="00915133"/>
    <w:rsid w:val="0091583C"/>
    <w:rsid w:val="00916656"/>
    <w:rsid w:val="00917A2B"/>
    <w:rsid w:val="0092215B"/>
    <w:rsid w:val="00923053"/>
    <w:rsid w:val="00925416"/>
    <w:rsid w:val="00925A5B"/>
    <w:rsid w:val="00926EFA"/>
    <w:rsid w:val="00927740"/>
    <w:rsid w:val="009277A2"/>
    <w:rsid w:val="00927D71"/>
    <w:rsid w:val="00927FB0"/>
    <w:rsid w:val="009301F5"/>
    <w:rsid w:val="009302BE"/>
    <w:rsid w:val="0093039B"/>
    <w:rsid w:val="009316A5"/>
    <w:rsid w:val="00932EFE"/>
    <w:rsid w:val="009331C3"/>
    <w:rsid w:val="009339A5"/>
    <w:rsid w:val="00933B2F"/>
    <w:rsid w:val="00936159"/>
    <w:rsid w:val="00936311"/>
    <w:rsid w:val="00936519"/>
    <w:rsid w:val="0093682F"/>
    <w:rsid w:val="009412A2"/>
    <w:rsid w:val="00941497"/>
    <w:rsid w:val="009419A4"/>
    <w:rsid w:val="00941D82"/>
    <w:rsid w:val="00941ED7"/>
    <w:rsid w:val="00941F74"/>
    <w:rsid w:val="009437B6"/>
    <w:rsid w:val="00943F01"/>
    <w:rsid w:val="00944C26"/>
    <w:rsid w:val="00945FC4"/>
    <w:rsid w:val="00947B35"/>
    <w:rsid w:val="00947FFA"/>
    <w:rsid w:val="00950677"/>
    <w:rsid w:val="00950830"/>
    <w:rsid w:val="00951B9E"/>
    <w:rsid w:val="0095299C"/>
    <w:rsid w:val="00952E05"/>
    <w:rsid w:val="00954239"/>
    <w:rsid w:val="00954692"/>
    <w:rsid w:val="009547CD"/>
    <w:rsid w:val="009547F7"/>
    <w:rsid w:val="00955639"/>
    <w:rsid w:val="00956FDD"/>
    <w:rsid w:val="00960218"/>
    <w:rsid w:val="00960C45"/>
    <w:rsid w:val="00961B61"/>
    <w:rsid w:val="00961F2F"/>
    <w:rsid w:val="00962699"/>
    <w:rsid w:val="00962F96"/>
    <w:rsid w:val="009651F7"/>
    <w:rsid w:val="009664BF"/>
    <w:rsid w:val="009708C1"/>
    <w:rsid w:val="009712BE"/>
    <w:rsid w:val="0097310D"/>
    <w:rsid w:val="009732A9"/>
    <w:rsid w:val="009739D3"/>
    <w:rsid w:val="00975E37"/>
    <w:rsid w:val="00976880"/>
    <w:rsid w:val="00977E1D"/>
    <w:rsid w:val="00981C42"/>
    <w:rsid w:val="00982150"/>
    <w:rsid w:val="009832EE"/>
    <w:rsid w:val="00983A56"/>
    <w:rsid w:val="00984D90"/>
    <w:rsid w:val="0098578E"/>
    <w:rsid w:val="00985F45"/>
    <w:rsid w:val="00987180"/>
    <w:rsid w:val="00987954"/>
    <w:rsid w:val="00987EB8"/>
    <w:rsid w:val="00990146"/>
    <w:rsid w:val="00990F80"/>
    <w:rsid w:val="009913D5"/>
    <w:rsid w:val="00991642"/>
    <w:rsid w:val="0099174E"/>
    <w:rsid w:val="0099175A"/>
    <w:rsid w:val="00992775"/>
    <w:rsid w:val="0099339C"/>
    <w:rsid w:val="00993903"/>
    <w:rsid w:val="00994795"/>
    <w:rsid w:val="00995D7D"/>
    <w:rsid w:val="00996291"/>
    <w:rsid w:val="0099631D"/>
    <w:rsid w:val="009963D5"/>
    <w:rsid w:val="0099654C"/>
    <w:rsid w:val="00997C2A"/>
    <w:rsid w:val="009A0E25"/>
    <w:rsid w:val="009A263D"/>
    <w:rsid w:val="009A32FE"/>
    <w:rsid w:val="009A4134"/>
    <w:rsid w:val="009A4510"/>
    <w:rsid w:val="009A52F5"/>
    <w:rsid w:val="009A6412"/>
    <w:rsid w:val="009A6A86"/>
    <w:rsid w:val="009A6EB6"/>
    <w:rsid w:val="009A7449"/>
    <w:rsid w:val="009B04D9"/>
    <w:rsid w:val="009B0573"/>
    <w:rsid w:val="009B1BBF"/>
    <w:rsid w:val="009B2E4D"/>
    <w:rsid w:val="009B312E"/>
    <w:rsid w:val="009B3D0F"/>
    <w:rsid w:val="009B4F24"/>
    <w:rsid w:val="009B5303"/>
    <w:rsid w:val="009B6F32"/>
    <w:rsid w:val="009B6FC7"/>
    <w:rsid w:val="009B770B"/>
    <w:rsid w:val="009B7B4B"/>
    <w:rsid w:val="009B7C21"/>
    <w:rsid w:val="009C07D0"/>
    <w:rsid w:val="009C14EA"/>
    <w:rsid w:val="009C1AA8"/>
    <w:rsid w:val="009C3950"/>
    <w:rsid w:val="009C487D"/>
    <w:rsid w:val="009C5C4D"/>
    <w:rsid w:val="009C749B"/>
    <w:rsid w:val="009C75E8"/>
    <w:rsid w:val="009D19E1"/>
    <w:rsid w:val="009D354D"/>
    <w:rsid w:val="009D41F3"/>
    <w:rsid w:val="009D5AE0"/>
    <w:rsid w:val="009D6690"/>
    <w:rsid w:val="009E0115"/>
    <w:rsid w:val="009E2DC8"/>
    <w:rsid w:val="009E4A44"/>
    <w:rsid w:val="009E4E6E"/>
    <w:rsid w:val="009E4ECA"/>
    <w:rsid w:val="009E5FA9"/>
    <w:rsid w:val="009E6DD3"/>
    <w:rsid w:val="009E7578"/>
    <w:rsid w:val="009E787B"/>
    <w:rsid w:val="009F0DC4"/>
    <w:rsid w:val="009F153A"/>
    <w:rsid w:val="009F1662"/>
    <w:rsid w:val="009F2DF5"/>
    <w:rsid w:val="009F30F2"/>
    <w:rsid w:val="009F3CB8"/>
    <w:rsid w:val="009F3E75"/>
    <w:rsid w:val="009F4321"/>
    <w:rsid w:val="009F47EF"/>
    <w:rsid w:val="009F73B9"/>
    <w:rsid w:val="009F79C2"/>
    <w:rsid w:val="00A003C8"/>
    <w:rsid w:val="00A00AE1"/>
    <w:rsid w:val="00A02933"/>
    <w:rsid w:val="00A03605"/>
    <w:rsid w:val="00A045B6"/>
    <w:rsid w:val="00A04992"/>
    <w:rsid w:val="00A05A64"/>
    <w:rsid w:val="00A05AB4"/>
    <w:rsid w:val="00A0604A"/>
    <w:rsid w:val="00A0776E"/>
    <w:rsid w:val="00A07FA8"/>
    <w:rsid w:val="00A104C1"/>
    <w:rsid w:val="00A10FF2"/>
    <w:rsid w:val="00A112F7"/>
    <w:rsid w:val="00A12CAA"/>
    <w:rsid w:val="00A12E26"/>
    <w:rsid w:val="00A13761"/>
    <w:rsid w:val="00A147AA"/>
    <w:rsid w:val="00A151E5"/>
    <w:rsid w:val="00A16D95"/>
    <w:rsid w:val="00A203DF"/>
    <w:rsid w:val="00A2172A"/>
    <w:rsid w:val="00A21D71"/>
    <w:rsid w:val="00A2293F"/>
    <w:rsid w:val="00A22B78"/>
    <w:rsid w:val="00A23181"/>
    <w:rsid w:val="00A2358C"/>
    <w:rsid w:val="00A246F7"/>
    <w:rsid w:val="00A24DA8"/>
    <w:rsid w:val="00A25957"/>
    <w:rsid w:val="00A25AE5"/>
    <w:rsid w:val="00A26442"/>
    <w:rsid w:val="00A26CAE"/>
    <w:rsid w:val="00A26DC3"/>
    <w:rsid w:val="00A274BD"/>
    <w:rsid w:val="00A32300"/>
    <w:rsid w:val="00A3239B"/>
    <w:rsid w:val="00A330E1"/>
    <w:rsid w:val="00A3329E"/>
    <w:rsid w:val="00A34912"/>
    <w:rsid w:val="00A34F7F"/>
    <w:rsid w:val="00A3549F"/>
    <w:rsid w:val="00A357E6"/>
    <w:rsid w:val="00A36577"/>
    <w:rsid w:val="00A37002"/>
    <w:rsid w:val="00A37B95"/>
    <w:rsid w:val="00A403AA"/>
    <w:rsid w:val="00A411FF"/>
    <w:rsid w:val="00A412E0"/>
    <w:rsid w:val="00A41AFB"/>
    <w:rsid w:val="00A41C12"/>
    <w:rsid w:val="00A4355E"/>
    <w:rsid w:val="00A44615"/>
    <w:rsid w:val="00A4720C"/>
    <w:rsid w:val="00A47427"/>
    <w:rsid w:val="00A503EF"/>
    <w:rsid w:val="00A50B07"/>
    <w:rsid w:val="00A512CA"/>
    <w:rsid w:val="00A520D9"/>
    <w:rsid w:val="00A5381A"/>
    <w:rsid w:val="00A54CD7"/>
    <w:rsid w:val="00A55C1A"/>
    <w:rsid w:val="00A55DB8"/>
    <w:rsid w:val="00A55EBE"/>
    <w:rsid w:val="00A566DD"/>
    <w:rsid w:val="00A56E07"/>
    <w:rsid w:val="00A57028"/>
    <w:rsid w:val="00A57C38"/>
    <w:rsid w:val="00A60256"/>
    <w:rsid w:val="00A602CE"/>
    <w:rsid w:val="00A60461"/>
    <w:rsid w:val="00A605D5"/>
    <w:rsid w:val="00A60FFF"/>
    <w:rsid w:val="00A62120"/>
    <w:rsid w:val="00A62753"/>
    <w:rsid w:val="00A64BAE"/>
    <w:rsid w:val="00A64DA0"/>
    <w:rsid w:val="00A6592A"/>
    <w:rsid w:val="00A666F4"/>
    <w:rsid w:val="00A672C5"/>
    <w:rsid w:val="00A704C4"/>
    <w:rsid w:val="00A708A0"/>
    <w:rsid w:val="00A70E0B"/>
    <w:rsid w:val="00A720CE"/>
    <w:rsid w:val="00A72959"/>
    <w:rsid w:val="00A748FE"/>
    <w:rsid w:val="00A74E67"/>
    <w:rsid w:val="00A75471"/>
    <w:rsid w:val="00A754EE"/>
    <w:rsid w:val="00A75850"/>
    <w:rsid w:val="00A77DCE"/>
    <w:rsid w:val="00A8077A"/>
    <w:rsid w:val="00A80DAB"/>
    <w:rsid w:val="00A8171C"/>
    <w:rsid w:val="00A83E7E"/>
    <w:rsid w:val="00A83FA5"/>
    <w:rsid w:val="00A8515A"/>
    <w:rsid w:val="00A8569B"/>
    <w:rsid w:val="00A85D05"/>
    <w:rsid w:val="00A85EFB"/>
    <w:rsid w:val="00A9017A"/>
    <w:rsid w:val="00A9137B"/>
    <w:rsid w:val="00A91A40"/>
    <w:rsid w:val="00A91D13"/>
    <w:rsid w:val="00A91D65"/>
    <w:rsid w:val="00A91EF4"/>
    <w:rsid w:val="00A92572"/>
    <w:rsid w:val="00A92BCD"/>
    <w:rsid w:val="00A92D17"/>
    <w:rsid w:val="00A92E24"/>
    <w:rsid w:val="00A93919"/>
    <w:rsid w:val="00A94682"/>
    <w:rsid w:val="00A9528A"/>
    <w:rsid w:val="00A97098"/>
    <w:rsid w:val="00AA092E"/>
    <w:rsid w:val="00AA1B0E"/>
    <w:rsid w:val="00AA2AD1"/>
    <w:rsid w:val="00AA3C5D"/>
    <w:rsid w:val="00AA47B6"/>
    <w:rsid w:val="00AA4AD7"/>
    <w:rsid w:val="00AA4E07"/>
    <w:rsid w:val="00AA4F2E"/>
    <w:rsid w:val="00AA5341"/>
    <w:rsid w:val="00AA7013"/>
    <w:rsid w:val="00AB00B0"/>
    <w:rsid w:val="00AB2806"/>
    <w:rsid w:val="00AB3097"/>
    <w:rsid w:val="00AB3DF4"/>
    <w:rsid w:val="00AB40C0"/>
    <w:rsid w:val="00AB4726"/>
    <w:rsid w:val="00AB597C"/>
    <w:rsid w:val="00AB5DD1"/>
    <w:rsid w:val="00AB6066"/>
    <w:rsid w:val="00AB6992"/>
    <w:rsid w:val="00AB7C5B"/>
    <w:rsid w:val="00AC06EE"/>
    <w:rsid w:val="00AC163B"/>
    <w:rsid w:val="00AC1777"/>
    <w:rsid w:val="00AC20B3"/>
    <w:rsid w:val="00AC316D"/>
    <w:rsid w:val="00AC3563"/>
    <w:rsid w:val="00AC4481"/>
    <w:rsid w:val="00AC5CA7"/>
    <w:rsid w:val="00AC6058"/>
    <w:rsid w:val="00AC6266"/>
    <w:rsid w:val="00AC6FA8"/>
    <w:rsid w:val="00AC7CC9"/>
    <w:rsid w:val="00AC7FC2"/>
    <w:rsid w:val="00AD09F9"/>
    <w:rsid w:val="00AD0BF4"/>
    <w:rsid w:val="00AD0CC1"/>
    <w:rsid w:val="00AD1175"/>
    <w:rsid w:val="00AD219E"/>
    <w:rsid w:val="00AD2456"/>
    <w:rsid w:val="00AD2728"/>
    <w:rsid w:val="00AD362B"/>
    <w:rsid w:val="00AD3B95"/>
    <w:rsid w:val="00AD49AF"/>
    <w:rsid w:val="00AD4AC0"/>
    <w:rsid w:val="00AD594A"/>
    <w:rsid w:val="00AD7633"/>
    <w:rsid w:val="00AE0237"/>
    <w:rsid w:val="00AE1D45"/>
    <w:rsid w:val="00AE1F1D"/>
    <w:rsid w:val="00AE2540"/>
    <w:rsid w:val="00AE2BA5"/>
    <w:rsid w:val="00AE2FA2"/>
    <w:rsid w:val="00AE3DE6"/>
    <w:rsid w:val="00AE4CF4"/>
    <w:rsid w:val="00AE4F42"/>
    <w:rsid w:val="00AE56B1"/>
    <w:rsid w:val="00AE5879"/>
    <w:rsid w:val="00AE5CBB"/>
    <w:rsid w:val="00AE6634"/>
    <w:rsid w:val="00AE6D09"/>
    <w:rsid w:val="00AE6D52"/>
    <w:rsid w:val="00AE76F6"/>
    <w:rsid w:val="00AF0ED8"/>
    <w:rsid w:val="00AF2D06"/>
    <w:rsid w:val="00AF2EF0"/>
    <w:rsid w:val="00AF6215"/>
    <w:rsid w:val="00AF658A"/>
    <w:rsid w:val="00AF7A7C"/>
    <w:rsid w:val="00B01694"/>
    <w:rsid w:val="00B016FE"/>
    <w:rsid w:val="00B02070"/>
    <w:rsid w:val="00B0207D"/>
    <w:rsid w:val="00B0346A"/>
    <w:rsid w:val="00B048ED"/>
    <w:rsid w:val="00B05B9E"/>
    <w:rsid w:val="00B05CD5"/>
    <w:rsid w:val="00B069D5"/>
    <w:rsid w:val="00B079FE"/>
    <w:rsid w:val="00B11008"/>
    <w:rsid w:val="00B11166"/>
    <w:rsid w:val="00B12C2B"/>
    <w:rsid w:val="00B14850"/>
    <w:rsid w:val="00B1525B"/>
    <w:rsid w:val="00B156BA"/>
    <w:rsid w:val="00B159C0"/>
    <w:rsid w:val="00B17A45"/>
    <w:rsid w:val="00B17BAB"/>
    <w:rsid w:val="00B17F48"/>
    <w:rsid w:val="00B20050"/>
    <w:rsid w:val="00B20494"/>
    <w:rsid w:val="00B21426"/>
    <w:rsid w:val="00B22CD0"/>
    <w:rsid w:val="00B235C4"/>
    <w:rsid w:val="00B24255"/>
    <w:rsid w:val="00B2430B"/>
    <w:rsid w:val="00B248EC"/>
    <w:rsid w:val="00B266F0"/>
    <w:rsid w:val="00B27BAC"/>
    <w:rsid w:val="00B3152D"/>
    <w:rsid w:val="00B330E0"/>
    <w:rsid w:val="00B33E59"/>
    <w:rsid w:val="00B34B78"/>
    <w:rsid w:val="00B35ECF"/>
    <w:rsid w:val="00B365FD"/>
    <w:rsid w:val="00B36DC4"/>
    <w:rsid w:val="00B37366"/>
    <w:rsid w:val="00B37F59"/>
    <w:rsid w:val="00B408B6"/>
    <w:rsid w:val="00B4119A"/>
    <w:rsid w:val="00B41A3E"/>
    <w:rsid w:val="00B4383C"/>
    <w:rsid w:val="00B45471"/>
    <w:rsid w:val="00B456D1"/>
    <w:rsid w:val="00B45CDC"/>
    <w:rsid w:val="00B4643A"/>
    <w:rsid w:val="00B46471"/>
    <w:rsid w:val="00B50648"/>
    <w:rsid w:val="00B506CA"/>
    <w:rsid w:val="00B50A5E"/>
    <w:rsid w:val="00B50EC0"/>
    <w:rsid w:val="00B5197A"/>
    <w:rsid w:val="00B52F95"/>
    <w:rsid w:val="00B542DA"/>
    <w:rsid w:val="00B54F4C"/>
    <w:rsid w:val="00B550CB"/>
    <w:rsid w:val="00B55812"/>
    <w:rsid w:val="00B570B9"/>
    <w:rsid w:val="00B60293"/>
    <w:rsid w:val="00B6038E"/>
    <w:rsid w:val="00B62685"/>
    <w:rsid w:val="00B6285C"/>
    <w:rsid w:val="00B64275"/>
    <w:rsid w:val="00B65F33"/>
    <w:rsid w:val="00B66B7D"/>
    <w:rsid w:val="00B700DF"/>
    <w:rsid w:val="00B7017A"/>
    <w:rsid w:val="00B7072B"/>
    <w:rsid w:val="00B71F50"/>
    <w:rsid w:val="00B72871"/>
    <w:rsid w:val="00B73129"/>
    <w:rsid w:val="00B73862"/>
    <w:rsid w:val="00B73F43"/>
    <w:rsid w:val="00B7435A"/>
    <w:rsid w:val="00B747A4"/>
    <w:rsid w:val="00B74A92"/>
    <w:rsid w:val="00B758D8"/>
    <w:rsid w:val="00B75BBF"/>
    <w:rsid w:val="00B75BF0"/>
    <w:rsid w:val="00B76083"/>
    <w:rsid w:val="00B76264"/>
    <w:rsid w:val="00B762CC"/>
    <w:rsid w:val="00B76A60"/>
    <w:rsid w:val="00B77E5B"/>
    <w:rsid w:val="00B80316"/>
    <w:rsid w:val="00B8046A"/>
    <w:rsid w:val="00B8082E"/>
    <w:rsid w:val="00B80865"/>
    <w:rsid w:val="00B80B11"/>
    <w:rsid w:val="00B8101E"/>
    <w:rsid w:val="00B81CDC"/>
    <w:rsid w:val="00B81F1D"/>
    <w:rsid w:val="00B83ED8"/>
    <w:rsid w:val="00B84396"/>
    <w:rsid w:val="00B8480E"/>
    <w:rsid w:val="00B85E10"/>
    <w:rsid w:val="00B8777A"/>
    <w:rsid w:val="00B878BA"/>
    <w:rsid w:val="00B90979"/>
    <w:rsid w:val="00B914AA"/>
    <w:rsid w:val="00B932FF"/>
    <w:rsid w:val="00B93AB7"/>
    <w:rsid w:val="00B940A4"/>
    <w:rsid w:val="00B94325"/>
    <w:rsid w:val="00B9537F"/>
    <w:rsid w:val="00B9568E"/>
    <w:rsid w:val="00B9598F"/>
    <w:rsid w:val="00B962E3"/>
    <w:rsid w:val="00B97982"/>
    <w:rsid w:val="00BA04D0"/>
    <w:rsid w:val="00BA1ADD"/>
    <w:rsid w:val="00BA2E54"/>
    <w:rsid w:val="00BA308C"/>
    <w:rsid w:val="00BA378E"/>
    <w:rsid w:val="00BA3856"/>
    <w:rsid w:val="00BA4138"/>
    <w:rsid w:val="00BA4216"/>
    <w:rsid w:val="00BA6B66"/>
    <w:rsid w:val="00BA6E30"/>
    <w:rsid w:val="00BA6E48"/>
    <w:rsid w:val="00BA715A"/>
    <w:rsid w:val="00BA7FF8"/>
    <w:rsid w:val="00BB0082"/>
    <w:rsid w:val="00BB0A45"/>
    <w:rsid w:val="00BB0C8E"/>
    <w:rsid w:val="00BB0DA9"/>
    <w:rsid w:val="00BB10CB"/>
    <w:rsid w:val="00BB2E2A"/>
    <w:rsid w:val="00BB398E"/>
    <w:rsid w:val="00BB40C2"/>
    <w:rsid w:val="00BB56A6"/>
    <w:rsid w:val="00BB651F"/>
    <w:rsid w:val="00BB76FC"/>
    <w:rsid w:val="00BC01B2"/>
    <w:rsid w:val="00BC0525"/>
    <w:rsid w:val="00BC25D7"/>
    <w:rsid w:val="00BC2A57"/>
    <w:rsid w:val="00BC35CE"/>
    <w:rsid w:val="00BC3D7B"/>
    <w:rsid w:val="00BC5471"/>
    <w:rsid w:val="00BC5D2D"/>
    <w:rsid w:val="00BC6763"/>
    <w:rsid w:val="00BC7301"/>
    <w:rsid w:val="00BD0014"/>
    <w:rsid w:val="00BD11DF"/>
    <w:rsid w:val="00BD1D41"/>
    <w:rsid w:val="00BD4880"/>
    <w:rsid w:val="00BD4995"/>
    <w:rsid w:val="00BD5099"/>
    <w:rsid w:val="00BD50DE"/>
    <w:rsid w:val="00BD603F"/>
    <w:rsid w:val="00BD60E1"/>
    <w:rsid w:val="00BD7859"/>
    <w:rsid w:val="00BD789E"/>
    <w:rsid w:val="00BE0118"/>
    <w:rsid w:val="00BE0AF6"/>
    <w:rsid w:val="00BE1355"/>
    <w:rsid w:val="00BE1DEB"/>
    <w:rsid w:val="00BE1F03"/>
    <w:rsid w:val="00BE26D7"/>
    <w:rsid w:val="00BE2EF0"/>
    <w:rsid w:val="00BE2F57"/>
    <w:rsid w:val="00BE434E"/>
    <w:rsid w:val="00BE4A38"/>
    <w:rsid w:val="00BE4C2F"/>
    <w:rsid w:val="00BE543D"/>
    <w:rsid w:val="00BE58A7"/>
    <w:rsid w:val="00BE68DE"/>
    <w:rsid w:val="00BE76D1"/>
    <w:rsid w:val="00BF01A9"/>
    <w:rsid w:val="00BF0CF7"/>
    <w:rsid w:val="00BF1BE9"/>
    <w:rsid w:val="00BF2218"/>
    <w:rsid w:val="00BF472C"/>
    <w:rsid w:val="00BF4933"/>
    <w:rsid w:val="00BF4D81"/>
    <w:rsid w:val="00BF6BF4"/>
    <w:rsid w:val="00BF7206"/>
    <w:rsid w:val="00BF73BF"/>
    <w:rsid w:val="00BF74F7"/>
    <w:rsid w:val="00BF7958"/>
    <w:rsid w:val="00C0016A"/>
    <w:rsid w:val="00C00B0E"/>
    <w:rsid w:val="00C00C7B"/>
    <w:rsid w:val="00C01654"/>
    <w:rsid w:val="00C01B58"/>
    <w:rsid w:val="00C01D84"/>
    <w:rsid w:val="00C02A16"/>
    <w:rsid w:val="00C032E7"/>
    <w:rsid w:val="00C032FC"/>
    <w:rsid w:val="00C039D2"/>
    <w:rsid w:val="00C039DD"/>
    <w:rsid w:val="00C0426B"/>
    <w:rsid w:val="00C04273"/>
    <w:rsid w:val="00C04456"/>
    <w:rsid w:val="00C045DF"/>
    <w:rsid w:val="00C049BB"/>
    <w:rsid w:val="00C0589A"/>
    <w:rsid w:val="00C063A6"/>
    <w:rsid w:val="00C06A22"/>
    <w:rsid w:val="00C1148B"/>
    <w:rsid w:val="00C1293E"/>
    <w:rsid w:val="00C12DC1"/>
    <w:rsid w:val="00C134B2"/>
    <w:rsid w:val="00C13B4A"/>
    <w:rsid w:val="00C13BEC"/>
    <w:rsid w:val="00C14623"/>
    <w:rsid w:val="00C15A27"/>
    <w:rsid w:val="00C15DD0"/>
    <w:rsid w:val="00C16A17"/>
    <w:rsid w:val="00C172CD"/>
    <w:rsid w:val="00C20171"/>
    <w:rsid w:val="00C21488"/>
    <w:rsid w:val="00C240B9"/>
    <w:rsid w:val="00C24494"/>
    <w:rsid w:val="00C2543D"/>
    <w:rsid w:val="00C26ADB"/>
    <w:rsid w:val="00C26D43"/>
    <w:rsid w:val="00C30168"/>
    <w:rsid w:val="00C31729"/>
    <w:rsid w:val="00C337CC"/>
    <w:rsid w:val="00C33964"/>
    <w:rsid w:val="00C3396E"/>
    <w:rsid w:val="00C33D71"/>
    <w:rsid w:val="00C34128"/>
    <w:rsid w:val="00C34EF0"/>
    <w:rsid w:val="00C35173"/>
    <w:rsid w:val="00C35F44"/>
    <w:rsid w:val="00C36195"/>
    <w:rsid w:val="00C3688A"/>
    <w:rsid w:val="00C36D59"/>
    <w:rsid w:val="00C373FE"/>
    <w:rsid w:val="00C40160"/>
    <w:rsid w:val="00C4039D"/>
    <w:rsid w:val="00C406FB"/>
    <w:rsid w:val="00C4099E"/>
    <w:rsid w:val="00C41A22"/>
    <w:rsid w:val="00C4277A"/>
    <w:rsid w:val="00C42ECB"/>
    <w:rsid w:val="00C4404A"/>
    <w:rsid w:val="00C44883"/>
    <w:rsid w:val="00C44A5B"/>
    <w:rsid w:val="00C463BF"/>
    <w:rsid w:val="00C46548"/>
    <w:rsid w:val="00C476F6"/>
    <w:rsid w:val="00C47B45"/>
    <w:rsid w:val="00C50977"/>
    <w:rsid w:val="00C5349F"/>
    <w:rsid w:val="00C544D2"/>
    <w:rsid w:val="00C54531"/>
    <w:rsid w:val="00C55B73"/>
    <w:rsid w:val="00C56E50"/>
    <w:rsid w:val="00C5706F"/>
    <w:rsid w:val="00C571DB"/>
    <w:rsid w:val="00C5738A"/>
    <w:rsid w:val="00C574D5"/>
    <w:rsid w:val="00C57671"/>
    <w:rsid w:val="00C6031E"/>
    <w:rsid w:val="00C616A8"/>
    <w:rsid w:val="00C6278F"/>
    <w:rsid w:val="00C62CCC"/>
    <w:rsid w:val="00C664AA"/>
    <w:rsid w:val="00C66546"/>
    <w:rsid w:val="00C66C74"/>
    <w:rsid w:val="00C710B7"/>
    <w:rsid w:val="00C72F57"/>
    <w:rsid w:val="00C7363D"/>
    <w:rsid w:val="00C73C16"/>
    <w:rsid w:val="00C73C7C"/>
    <w:rsid w:val="00C73F32"/>
    <w:rsid w:val="00C7413D"/>
    <w:rsid w:val="00C74803"/>
    <w:rsid w:val="00C75044"/>
    <w:rsid w:val="00C752EC"/>
    <w:rsid w:val="00C75A62"/>
    <w:rsid w:val="00C75D2B"/>
    <w:rsid w:val="00C77446"/>
    <w:rsid w:val="00C777CB"/>
    <w:rsid w:val="00C806FC"/>
    <w:rsid w:val="00C80D02"/>
    <w:rsid w:val="00C814E2"/>
    <w:rsid w:val="00C81D1F"/>
    <w:rsid w:val="00C81DBF"/>
    <w:rsid w:val="00C82D5A"/>
    <w:rsid w:val="00C852BA"/>
    <w:rsid w:val="00C87462"/>
    <w:rsid w:val="00C91230"/>
    <w:rsid w:val="00C91959"/>
    <w:rsid w:val="00C91E3B"/>
    <w:rsid w:val="00C92B51"/>
    <w:rsid w:val="00C92C7D"/>
    <w:rsid w:val="00C942A1"/>
    <w:rsid w:val="00C9489D"/>
    <w:rsid w:val="00C94A11"/>
    <w:rsid w:val="00C972EF"/>
    <w:rsid w:val="00C974C9"/>
    <w:rsid w:val="00C97B78"/>
    <w:rsid w:val="00C97C7D"/>
    <w:rsid w:val="00CA08AE"/>
    <w:rsid w:val="00CA116B"/>
    <w:rsid w:val="00CA180C"/>
    <w:rsid w:val="00CA252C"/>
    <w:rsid w:val="00CA3876"/>
    <w:rsid w:val="00CA4543"/>
    <w:rsid w:val="00CA5037"/>
    <w:rsid w:val="00CA5771"/>
    <w:rsid w:val="00CA6038"/>
    <w:rsid w:val="00CA643C"/>
    <w:rsid w:val="00CA6A43"/>
    <w:rsid w:val="00CB08E1"/>
    <w:rsid w:val="00CB12AB"/>
    <w:rsid w:val="00CB13BE"/>
    <w:rsid w:val="00CB22B2"/>
    <w:rsid w:val="00CB283B"/>
    <w:rsid w:val="00CB2A2F"/>
    <w:rsid w:val="00CB58A1"/>
    <w:rsid w:val="00CB6AF7"/>
    <w:rsid w:val="00CB6B52"/>
    <w:rsid w:val="00CB6E01"/>
    <w:rsid w:val="00CB6E97"/>
    <w:rsid w:val="00CB7297"/>
    <w:rsid w:val="00CB7826"/>
    <w:rsid w:val="00CC1DF2"/>
    <w:rsid w:val="00CC2508"/>
    <w:rsid w:val="00CC383F"/>
    <w:rsid w:val="00CC3EE2"/>
    <w:rsid w:val="00CC4B0B"/>
    <w:rsid w:val="00CC4C9A"/>
    <w:rsid w:val="00CC4E35"/>
    <w:rsid w:val="00CC5CB0"/>
    <w:rsid w:val="00CC70BD"/>
    <w:rsid w:val="00CD0C33"/>
    <w:rsid w:val="00CD2DC1"/>
    <w:rsid w:val="00CD3195"/>
    <w:rsid w:val="00CD55D5"/>
    <w:rsid w:val="00CD6BBE"/>
    <w:rsid w:val="00CD7492"/>
    <w:rsid w:val="00CD7686"/>
    <w:rsid w:val="00CD7FBB"/>
    <w:rsid w:val="00CE082D"/>
    <w:rsid w:val="00CE0A7A"/>
    <w:rsid w:val="00CE0C44"/>
    <w:rsid w:val="00CE13A5"/>
    <w:rsid w:val="00CE2707"/>
    <w:rsid w:val="00CE3A6B"/>
    <w:rsid w:val="00CE489D"/>
    <w:rsid w:val="00CE4D0B"/>
    <w:rsid w:val="00CE6237"/>
    <w:rsid w:val="00CF0AD5"/>
    <w:rsid w:val="00CF7B31"/>
    <w:rsid w:val="00D00211"/>
    <w:rsid w:val="00D006D1"/>
    <w:rsid w:val="00D025AE"/>
    <w:rsid w:val="00D0291C"/>
    <w:rsid w:val="00D029A5"/>
    <w:rsid w:val="00D030A4"/>
    <w:rsid w:val="00D03370"/>
    <w:rsid w:val="00D0362D"/>
    <w:rsid w:val="00D05C9C"/>
    <w:rsid w:val="00D06309"/>
    <w:rsid w:val="00D06B4C"/>
    <w:rsid w:val="00D07CC1"/>
    <w:rsid w:val="00D104E0"/>
    <w:rsid w:val="00D11D20"/>
    <w:rsid w:val="00D1228C"/>
    <w:rsid w:val="00D12925"/>
    <w:rsid w:val="00D12BF3"/>
    <w:rsid w:val="00D13452"/>
    <w:rsid w:val="00D14420"/>
    <w:rsid w:val="00D144BD"/>
    <w:rsid w:val="00D15C13"/>
    <w:rsid w:val="00D1677F"/>
    <w:rsid w:val="00D206C9"/>
    <w:rsid w:val="00D20DC3"/>
    <w:rsid w:val="00D20DFF"/>
    <w:rsid w:val="00D20F7B"/>
    <w:rsid w:val="00D2149D"/>
    <w:rsid w:val="00D22C0D"/>
    <w:rsid w:val="00D231FF"/>
    <w:rsid w:val="00D239A8"/>
    <w:rsid w:val="00D26AD3"/>
    <w:rsid w:val="00D26F24"/>
    <w:rsid w:val="00D30370"/>
    <w:rsid w:val="00D305B6"/>
    <w:rsid w:val="00D30630"/>
    <w:rsid w:val="00D30C2A"/>
    <w:rsid w:val="00D3147D"/>
    <w:rsid w:val="00D3187B"/>
    <w:rsid w:val="00D31A94"/>
    <w:rsid w:val="00D33131"/>
    <w:rsid w:val="00D34655"/>
    <w:rsid w:val="00D351EA"/>
    <w:rsid w:val="00D351F5"/>
    <w:rsid w:val="00D36E03"/>
    <w:rsid w:val="00D3703B"/>
    <w:rsid w:val="00D370EF"/>
    <w:rsid w:val="00D40288"/>
    <w:rsid w:val="00D403EA"/>
    <w:rsid w:val="00D41BBE"/>
    <w:rsid w:val="00D42B8A"/>
    <w:rsid w:val="00D42BB2"/>
    <w:rsid w:val="00D42D66"/>
    <w:rsid w:val="00D43403"/>
    <w:rsid w:val="00D44215"/>
    <w:rsid w:val="00D44DEB"/>
    <w:rsid w:val="00D46402"/>
    <w:rsid w:val="00D466F4"/>
    <w:rsid w:val="00D46B41"/>
    <w:rsid w:val="00D4747C"/>
    <w:rsid w:val="00D477D8"/>
    <w:rsid w:val="00D50268"/>
    <w:rsid w:val="00D50A6B"/>
    <w:rsid w:val="00D5270B"/>
    <w:rsid w:val="00D5359A"/>
    <w:rsid w:val="00D53A06"/>
    <w:rsid w:val="00D55256"/>
    <w:rsid w:val="00D55726"/>
    <w:rsid w:val="00D5605B"/>
    <w:rsid w:val="00D57973"/>
    <w:rsid w:val="00D60ECF"/>
    <w:rsid w:val="00D614F2"/>
    <w:rsid w:val="00D61796"/>
    <w:rsid w:val="00D61806"/>
    <w:rsid w:val="00D62E71"/>
    <w:rsid w:val="00D62E82"/>
    <w:rsid w:val="00D6430D"/>
    <w:rsid w:val="00D64FC4"/>
    <w:rsid w:val="00D658B5"/>
    <w:rsid w:val="00D66188"/>
    <w:rsid w:val="00D66295"/>
    <w:rsid w:val="00D666DE"/>
    <w:rsid w:val="00D66A81"/>
    <w:rsid w:val="00D67150"/>
    <w:rsid w:val="00D67339"/>
    <w:rsid w:val="00D67FEF"/>
    <w:rsid w:val="00D70159"/>
    <w:rsid w:val="00D70A5A"/>
    <w:rsid w:val="00D70B97"/>
    <w:rsid w:val="00D71DA6"/>
    <w:rsid w:val="00D71E1D"/>
    <w:rsid w:val="00D7224F"/>
    <w:rsid w:val="00D72830"/>
    <w:rsid w:val="00D730A6"/>
    <w:rsid w:val="00D731F6"/>
    <w:rsid w:val="00D740CA"/>
    <w:rsid w:val="00D7494F"/>
    <w:rsid w:val="00D75302"/>
    <w:rsid w:val="00D754D0"/>
    <w:rsid w:val="00D760BD"/>
    <w:rsid w:val="00D76AB9"/>
    <w:rsid w:val="00D77587"/>
    <w:rsid w:val="00D77CD2"/>
    <w:rsid w:val="00D809A1"/>
    <w:rsid w:val="00D8124E"/>
    <w:rsid w:val="00D81F1A"/>
    <w:rsid w:val="00D828E1"/>
    <w:rsid w:val="00D836C3"/>
    <w:rsid w:val="00D839DF"/>
    <w:rsid w:val="00D84C76"/>
    <w:rsid w:val="00D85306"/>
    <w:rsid w:val="00D85481"/>
    <w:rsid w:val="00D85728"/>
    <w:rsid w:val="00D902CE"/>
    <w:rsid w:val="00D91175"/>
    <w:rsid w:val="00D91934"/>
    <w:rsid w:val="00D91939"/>
    <w:rsid w:val="00D93788"/>
    <w:rsid w:val="00D938F2"/>
    <w:rsid w:val="00D95481"/>
    <w:rsid w:val="00D95733"/>
    <w:rsid w:val="00D95FCE"/>
    <w:rsid w:val="00DA08C3"/>
    <w:rsid w:val="00DA1134"/>
    <w:rsid w:val="00DA36B6"/>
    <w:rsid w:val="00DA3A64"/>
    <w:rsid w:val="00DA75BC"/>
    <w:rsid w:val="00DA78C1"/>
    <w:rsid w:val="00DB0604"/>
    <w:rsid w:val="00DB0AC3"/>
    <w:rsid w:val="00DB1728"/>
    <w:rsid w:val="00DB2141"/>
    <w:rsid w:val="00DB384B"/>
    <w:rsid w:val="00DB4A59"/>
    <w:rsid w:val="00DB593E"/>
    <w:rsid w:val="00DB77D6"/>
    <w:rsid w:val="00DC0599"/>
    <w:rsid w:val="00DC1B8B"/>
    <w:rsid w:val="00DC1C73"/>
    <w:rsid w:val="00DC41F9"/>
    <w:rsid w:val="00DC5CE0"/>
    <w:rsid w:val="00DC60DE"/>
    <w:rsid w:val="00DC6188"/>
    <w:rsid w:val="00DC7105"/>
    <w:rsid w:val="00DC7607"/>
    <w:rsid w:val="00DC7A13"/>
    <w:rsid w:val="00DC7D95"/>
    <w:rsid w:val="00DD0393"/>
    <w:rsid w:val="00DD09F3"/>
    <w:rsid w:val="00DD16D8"/>
    <w:rsid w:val="00DD1EBB"/>
    <w:rsid w:val="00DD2F61"/>
    <w:rsid w:val="00DD3216"/>
    <w:rsid w:val="00DD433B"/>
    <w:rsid w:val="00DD69D1"/>
    <w:rsid w:val="00DD7409"/>
    <w:rsid w:val="00DE0139"/>
    <w:rsid w:val="00DE0C4D"/>
    <w:rsid w:val="00DE0DA2"/>
    <w:rsid w:val="00DE1921"/>
    <w:rsid w:val="00DE1C60"/>
    <w:rsid w:val="00DE2D7A"/>
    <w:rsid w:val="00DE3018"/>
    <w:rsid w:val="00DE31AC"/>
    <w:rsid w:val="00DE480E"/>
    <w:rsid w:val="00DE5340"/>
    <w:rsid w:val="00DE5BEC"/>
    <w:rsid w:val="00DE7064"/>
    <w:rsid w:val="00DE76F4"/>
    <w:rsid w:val="00DE78A1"/>
    <w:rsid w:val="00DF147B"/>
    <w:rsid w:val="00DF16CE"/>
    <w:rsid w:val="00DF2721"/>
    <w:rsid w:val="00DF2997"/>
    <w:rsid w:val="00DF3E51"/>
    <w:rsid w:val="00DF3FEA"/>
    <w:rsid w:val="00DF48A8"/>
    <w:rsid w:val="00DF51C2"/>
    <w:rsid w:val="00DF609C"/>
    <w:rsid w:val="00DF7263"/>
    <w:rsid w:val="00E00F5B"/>
    <w:rsid w:val="00E01212"/>
    <w:rsid w:val="00E012B7"/>
    <w:rsid w:val="00E01416"/>
    <w:rsid w:val="00E018B6"/>
    <w:rsid w:val="00E01BF1"/>
    <w:rsid w:val="00E01C15"/>
    <w:rsid w:val="00E025A3"/>
    <w:rsid w:val="00E0377B"/>
    <w:rsid w:val="00E0395B"/>
    <w:rsid w:val="00E0583E"/>
    <w:rsid w:val="00E066A0"/>
    <w:rsid w:val="00E06802"/>
    <w:rsid w:val="00E1050E"/>
    <w:rsid w:val="00E108F0"/>
    <w:rsid w:val="00E10BC4"/>
    <w:rsid w:val="00E11D53"/>
    <w:rsid w:val="00E1305C"/>
    <w:rsid w:val="00E131DF"/>
    <w:rsid w:val="00E14044"/>
    <w:rsid w:val="00E1415D"/>
    <w:rsid w:val="00E14A14"/>
    <w:rsid w:val="00E15275"/>
    <w:rsid w:val="00E171C5"/>
    <w:rsid w:val="00E17D32"/>
    <w:rsid w:val="00E17EF9"/>
    <w:rsid w:val="00E208C8"/>
    <w:rsid w:val="00E20CD1"/>
    <w:rsid w:val="00E210DA"/>
    <w:rsid w:val="00E213BD"/>
    <w:rsid w:val="00E233D3"/>
    <w:rsid w:val="00E24574"/>
    <w:rsid w:val="00E249AE"/>
    <w:rsid w:val="00E24D54"/>
    <w:rsid w:val="00E252E7"/>
    <w:rsid w:val="00E26F49"/>
    <w:rsid w:val="00E2716B"/>
    <w:rsid w:val="00E278B1"/>
    <w:rsid w:val="00E307A3"/>
    <w:rsid w:val="00E30FA7"/>
    <w:rsid w:val="00E31985"/>
    <w:rsid w:val="00E323E9"/>
    <w:rsid w:val="00E32A96"/>
    <w:rsid w:val="00E32C45"/>
    <w:rsid w:val="00E32FB6"/>
    <w:rsid w:val="00E336C5"/>
    <w:rsid w:val="00E34018"/>
    <w:rsid w:val="00E35806"/>
    <w:rsid w:val="00E36C8F"/>
    <w:rsid w:val="00E370DC"/>
    <w:rsid w:val="00E40513"/>
    <w:rsid w:val="00E414A2"/>
    <w:rsid w:val="00E437D2"/>
    <w:rsid w:val="00E43BF9"/>
    <w:rsid w:val="00E441B0"/>
    <w:rsid w:val="00E4520A"/>
    <w:rsid w:val="00E46158"/>
    <w:rsid w:val="00E47754"/>
    <w:rsid w:val="00E47AAE"/>
    <w:rsid w:val="00E47BC6"/>
    <w:rsid w:val="00E50C91"/>
    <w:rsid w:val="00E51790"/>
    <w:rsid w:val="00E51930"/>
    <w:rsid w:val="00E51B1B"/>
    <w:rsid w:val="00E54B70"/>
    <w:rsid w:val="00E55313"/>
    <w:rsid w:val="00E55751"/>
    <w:rsid w:val="00E558CE"/>
    <w:rsid w:val="00E57C5F"/>
    <w:rsid w:val="00E60486"/>
    <w:rsid w:val="00E609B6"/>
    <w:rsid w:val="00E60F68"/>
    <w:rsid w:val="00E615A1"/>
    <w:rsid w:val="00E63B0F"/>
    <w:rsid w:val="00E645AD"/>
    <w:rsid w:val="00E64898"/>
    <w:rsid w:val="00E66DB1"/>
    <w:rsid w:val="00E67927"/>
    <w:rsid w:val="00E67E02"/>
    <w:rsid w:val="00E70436"/>
    <w:rsid w:val="00E704BE"/>
    <w:rsid w:val="00E70F8E"/>
    <w:rsid w:val="00E71912"/>
    <w:rsid w:val="00E719D6"/>
    <w:rsid w:val="00E72CE3"/>
    <w:rsid w:val="00E7398E"/>
    <w:rsid w:val="00E73F52"/>
    <w:rsid w:val="00E74844"/>
    <w:rsid w:val="00E753A4"/>
    <w:rsid w:val="00E7613E"/>
    <w:rsid w:val="00E77CC3"/>
    <w:rsid w:val="00E810A6"/>
    <w:rsid w:val="00E810B9"/>
    <w:rsid w:val="00E81D64"/>
    <w:rsid w:val="00E81DB4"/>
    <w:rsid w:val="00E82B94"/>
    <w:rsid w:val="00E830AD"/>
    <w:rsid w:val="00E856DF"/>
    <w:rsid w:val="00E85C51"/>
    <w:rsid w:val="00E86DC3"/>
    <w:rsid w:val="00E86E7D"/>
    <w:rsid w:val="00E91169"/>
    <w:rsid w:val="00E92D27"/>
    <w:rsid w:val="00E94A7F"/>
    <w:rsid w:val="00E94D6B"/>
    <w:rsid w:val="00E94E35"/>
    <w:rsid w:val="00E951DC"/>
    <w:rsid w:val="00E96F17"/>
    <w:rsid w:val="00E96F9D"/>
    <w:rsid w:val="00E97248"/>
    <w:rsid w:val="00EA02F2"/>
    <w:rsid w:val="00EA0C16"/>
    <w:rsid w:val="00EA158A"/>
    <w:rsid w:val="00EA1BAD"/>
    <w:rsid w:val="00EA2311"/>
    <w:rsid w:val="00EA2469"/>
    <w:rsid w:val="00EA2519"/>
    <w:rsid w:val="00EA2709"/>
    <w:rsid w:val="00EA2A4D"/>
    <w:rsid w:val="00EA2C43"/>
    <w:rsid w:val="00EA2C61"/>
    <w:rsid w:val="00EA373F"/>
    <w:rsid w:val="00EA3C25"/>
    <w:rsid w:val="00EA496B"/>
    <w:rsid w:val="00EA5439"/>
    <w:rsid w:val="00EA5F7C"/>
    <w:rsid w:val="00EA72D3"/>
    <w:rsid w:val="00EA7E97"/>
    <w:rsid w:val="00EB00EA"/>
    <w:rsid w:val="00EB0583"/>
    <w:rsid w:val="00EB098E"/>
    <w:rsid w:val="00EB1199"/>
    <w:rsid w:val="00EB1B4D"/>
    <w:rsid w:val="00EB1D90"/>
    <w:rsid w:val="00EB284A"/>
    <w:rsid w:val="00EB48F0"/>
    <w:rsid w:val="00EB4A4C"/>
    <w:rsid w:val="00EB612F"/>
    <w:rsid w:val="00EB7170"/>
    <w:rsid w:val="00EB7515"/>
    <w:rsid w:val="00EC168B"/>
    <w:rsid w:val="00EC18E8"/>
    <w:rsid w:val="00EC2AAA"/>
    <w:rsid w:val="00EC2D45"/>
    <w:rsid w:val="00EC53FD"/>
    <w:rsid w:val="00EC545D"/>
    <w:rsid w:val="00EC567E"/>
    <w:rsid w:val="00EC5FEA"/>
    <w:rsid w:val="00EC64DE"/>
    <w:rsid w:val="00EC677A"/>
    <w:rsid w:val="00EC6BD1"/>
    <w:rsid w:val="00EC79EF"/>
    <w:rsid w:val="00EC7BC3"/>
    <w:rsid w:val="00ED0495"/>
    <w:rsid w:val="00ED0AF0"/>
    <w:rsid w:val="00ED1957"/>
    <w:rsid w:val="00ED1A50"/>
    <w:rsid w:val="00ED29BA"/>
    <w:rsid w:val="00ED2BF9"/>
    <w:rsid w:val="00ED6309"/>
    <w:rsid w:val="00ED73F7"/>
    <w:rsid w:val="00ED7600"/>
    <w:rsid w:val="00EE128D"/>
    <w:rsid w:val="00EE12B3"/>
    <w:rsid w:val="00EE2673"/>
    <w:rsid w:val="00EE2C75"/>
    <w:rsid w:val="00EE3217"/>
    <w:rsid w:val="00EE4224"/>
    <w:rsid w:val="00EE4D21"/>
    <w:rsid w:val="00EE53A6"/>
    <w:rsid w:val="00EE5A12"/>
    <w:rsid w:val="00EE5AC0"/>
    <w:rsid w:val="00EE6A9E"/>
    <w:rsid w:val="00EE6B58"/>
    <w:rsid w:val="00EF001F"/>
    <w:rsid w:val="00EF0433"/>
    <w:rsid w:val="00EF1255"/>
    <w:rsid w:val="00EF158B"/>
    <w:rsid w:val="00EF1CAB"/>
    <w:rsid w:val="00EF1F6A"/>
    <w:rsid w:val="00EF2C59"/>
    <w:rsid w:val="00EF44B9"/>
    <w:rsid w:val="00EF4DD5"/>
    <w:rsid w:val="00EF502D"/>
    <w:rsid w:val="00EF5889"/>
    <w:rsid w:val="00EF6073"/>
    <w:rsid w:val="00EF698B"/>
    <w:rsid w:val="00EF6F1F"/>
    <w:rsid w:val="00EF73AC"/>
    <w:rsid w:val="00F00162"/>
    <w:rsid w:val="00F00C0E"/>
    <w:rsid w:val="00F015B7"/>
    <w:rsid w:val="00F02F2B"/>
    <w:rsid w:val="00F046E5"/>
    <w:rsid w:val="00F0488D"/>
    <w:rsid w:val="00F0506C"/>
    <w:rsid w:val="00F05EBF"/>
    <w:rsid w:val="00F07C99"/>
    <w:rsid w:val="00F1109A"/>
    <w:rsid w:val="00F11B48"/>
    <w:rsid w:val="00F11BF6"/>
    <w:rsid w:val="00F11D79"/>
    <w:rsid w:val="00F125D2"/>
    <w:rsid w:val="00F13257"/>
    <w:rsid w:val="00F1346E"/>
    <w:rsid w:val="00F1362C"/>
    <w:rsid w:val="00F173BC"/>
    <w:rsid w:val="00F1750D"/>
    <w:rsid w:val="00F20053"/>
    <w:rsid w:val="00F21AC8"/>
    <w:rsid w:val="00F23704"/>
    <w:rsid w:val="00F23E50"/>
    <w:rsid w:val="00F23F3C"/>
    <w:rsid w:val="00F250AD"/>
    <w:rsid w:val="00F25623"/>
    <w:rsid w:val="00F25B7F"/>
    <w:rsid w:val="00F25C88"/>
    <w:rsid w:val="00F307E3"/>
    <w:rsid w:val="00F3095C"/>
    <w:rsid w:val="00F30B16"/>
    <w:rsid w:val="00F323A7"/>
    <w:rsid w:val="00F32D2E"/>
    <w:rsid w:val="00F34CE2"/>
    <w:rsid w:val="00F3624E"/>
    <w:rsid w:val="00F36D2C"/>
    <w:rsid w:val="00F37B6D"/>
    <w:rsid w:val="00F40CB9"/>
    <w:rsid w:val="00F414F1"/>
    <w:rsid w:val="00F425A8"/>
    <w:rsid w:val="00F438DD"/>
    <w:rsid w:val="00F44F50"/>
    <w:rsid w:val="00F46D76"/>
    <w:rsid w:val="00F46EA2"/>
    <w:rsid w:val="00F46F21"/>
    <w:rsid w:val="00F46F48"/>
    <w:rsid w:val="00F47206"/>
    <w:rsid w:val="00F47842"/>
    <w:rsid w:val="00F47AAC"/>
    <w:rsid w:val="00F50557"/>
    <w:rsid w:val="00F50771"/>
    <w:rsid w:val="00F508B8"/>
    <w:rsid w:val="00F51216"/>
    <w:rsid w:val="00F51BCD"/>
    <w:rsid w:val="00F51CB7"/>
    <w:rsid w:val="00F51F47"/>
    <w:rsid w:val="00F51F65"/>
    <w:rsid w:val="00F51FB3"/>
    <w:rsid w:val="00F52045"/>
    <w:rsid w:val="00F52A27"/>
    <w:rsid w:val="00F52AB0"/>
    <w:rsid w:val="00F53CB9"/>
    <w:rsid w:val="00F5483A"/>
    <w:rsid w:val="00F55639"/>
    <w:rsid w:val="00F55824"/>
    <w:rsid w:val="00F57ECB"/>
    <w:rsid w:val="00F60538"/>
    <w:rsid w:val="00F6069C"/>
    <w:rsid w:val="00F62AFF"/>
    <w:rsid w:val="00F63633"/>
    <w:rsid w:val="00F636B7"/>
    <w:rsid w:val="00F64849"/>
    <w:rsid w:val="00F652BD"/>
    <w:rsid w:val="00F670C2"/>
    <w:rsid w:val="00F67442"/>
    <w:rsid w:val="00F70AD1"/>
    <w:rsid w:val="00F7112F"/>
    <w:rsid w:val="00F7134B"/>
    <w:rsid w:val="00F72CB1"/>
    <w:rsid w:val="00F735B0"/>
    <w:rsid w:val="00F7519A"/>
    <w:rsid w:val="00F76088"/>
    <w:rsid w:val="00F766CC"/>
    <w:rsid w:val="00F766D3"/>
    <w:rsid w:val="00F7700B"/>
    <w:rsid w:val="00F771C6"/>
    <w:rsid w:val="00F77C86"/>
    <w:rsid w:val="00F80172"/>
    <w:rsid w:val="00F8215E"/>
    <w:rsid w:val="00F823CC"/>
    <w:rsid w:val="00F824F5"/>
    <w:rsid w:val="00F836F9"/>
    <w:rsid w:val="00F83D32"/>
    <w:rsid w:val="00F84446"/>
    <w:rsid w:val="00F84BC6"/>
    <w:rsid w:val="00F855F0"/>
    <w:rsid w:val="00F8576A"/>
    <w:rsid w:val="00F87BA9"/>
    <w:rsid w:val="00F90434"/>
    <w:rsid w:val="00F90FAB"/>
    <w:rsid w:val="00F91386"/>
    <w:rsid w:val="00F9149F"/>
    <w:rsid w:val="00F91571"/>
    <w:rsid w:val="00F917F4"/>
    <w:rsid w:val="00F929BF"/>
    <w:rsid w:val="00F933B6"/>
    <w:rsid w:val="00F9374D"/>
    <w:rsid w:val="00F94183"/>
    <w:rsid w:val="00F941AD"/>
    <w:rsid w:val="00F94446"/>
    <w:rsid w:val="00F94F61"/>
    <w:rsid w:val="00F950D7"/>
    <w:rsid w:val="00F95C71"/>
    <w:rsid w:val="00F9630E"/>
    <w:rsid w:val="00F97CAF"/>
    <w:rsid w:val="00FA30F4"/>
    <w:rsid w:val="00FA3473"/>
    <w:rsid w:val="00FA44D5"/>
    <w:rsid w:val="00FA45E9"/>
    <w:rsid w:val="00FA57A7"/>
    <w:rsid w:val="00FA6F7B"/>
    <w:rsid w:val="00FA77E7"/>
    <w:rsid w:val="00FB0223"/>
    <w:rsid w:val="00FB050C"/>
    <w:rsid w:val="00FB080E"/>
    <w:rsid w:val="00FB084E"/>
    <w:rsid w:val="00FB1990"/>
    <w:rsid w:val="00FB2798"/>
    <w:rsid w:val="00FB3D65"/>
    <w:rsid w:val="00FB3F79"/>
    <w:rsid w:val="00FB41E7"/>
    <w:rsid w:val="00FB5E25"/>
    <w:rsid w:val="00FB61AC"/>
    <w:rsid w:val="00FB6924"/>
    <w:rsid w:val="00FB6DF4"/>
    <w:rsid w:val="00FB7368"/>
    <w:rsid w:val="00FB76BB"/>
    <w:rsid w:val="00FB7837"/>
    <w:rsid w:val="00FC1108"/>
    <w:rsid w:val="00FC1726"/>
    <w:rsid w:val="00FC235B"/>
    <w:rsid w:val="00FC2730"/>
    <w:rsid w:val="00FC27F3"/>
    <w:rsid w:val="00FC29B9"/>
    <w:rsid w:val="00FC2DA8"/>
    <w:rsid w:val="00FC3591"/>
    <w:rsid w:val="00FC3AF7"/>
    <w:rsid w:val="00FC3E0C"/>
    <w:rsid w:val="00FC57DA"/>
    <w:rsid w:val="00FC6247"/>
    <w:rsid w:val="00FC651B"/>
    <w:rsid w:val="00FC6BBC"/>
    <w:rsid w:val="00FC6FD3"/>
    <w:rsid w:val="00FC7511"/>
    <w:rsid w:val="00FD0466"/>
    <w:rsid w:val="00FD0BFF"/>
    <w:rsid w:val="00FD1213"/>
    <w:rsid w:val="00FD1560"/>
    <w:rsid w:val="00FD1DBC"/>
    <w:rsid w:val="00FD1ECC"/>
    <w:rsid w:val="00FD2C6A"/>
    <w:rsid w:val="00FD3732"/>
    <w:rsid w:val="00FD55B3"/>
    <w:rsid w:val="00FD587B"/>
    <w:rsid w:val="00FD62A1"/>
    <w:rsid w:val="00FD6910"/>
    <w:rsid w:val="00FE001D"/>
    <w:rsid w:val="00FE0410"/>
    <w:rsid w:val="00FE0B13"/>
    <w:rsid w:val="00FE21CD"/>
    <w:rsid w:val="00FE2ABC"/>
    <w:rsid w:val="00FE305C"/>
    <w:rsid w:val="00FE4AAD"/>
    <w:rsid w:val="00FE76F6"/>
    <w:rsid w:val="00FE77F2"/>
    <w:rsid w:val="00FE79CD"/>
    <w:rsid w:val="00FE7DF2"/>
    <w:rsid w:val="00FF0301"/>
    <w:rsid w:val="00FF11D4"/>
    <w:rsid w:val="00FF1390"/>
    <w:rsid w:val="00FF23A4"/>
    <w:rsid w:val="00FF4A80"/>
    <w:rsid w:val="00FF4BAE"/>
    <w:rsid w:val="00FF4CC1"/>
    <w:rsid w:val="00FF528C"/>
    <w:rsid w:val="00FF5350"/>
    <w:rsid w:val="00FF572C"/>
    <w:rsid w:val="00FF5E42"/>
    <w:rsid w:val="00FF71EC"/>
    <w:rsid w:val="00FF7303"/>
    <w:rsid w:val="00FF7454"/>
    <w:rsid w:val="00FF7553"/>
    <w:rsid w:val="00FF7582"/>
    <w:rsid w:val="00FF7804"/>
    <w:rsid w:val="00FF7D7F"/>
    <w:rsid w:val="00FF7E15"/>
    <w:rsid w:val="013C6CDF"/>
    <w:rsid w:val="016885C6"/>
    <w:rsid w:val="03B136F1"/>
    <w:rsid w:val="045394DF"/>
    <w:rsid w:val="04950D73"/>
    <w:rsid w:val="04C18AAE"/>
    <w:rsid w:val="054E962C"/>
    <w:rsid w:val="0585F6BA"/>
    <w:rsid w:val="07C5EC92"/>
    <w:rsid w:val="090F4F2D"/>
    <w:rsid w:val="0991BB71"/>
    <w:rsid w:val="09A7D0E2"/>
    <w:rsid w:val="09B68505"/>
    <w:rsid w:val="09B8590B"/>
    <w:rsid w:val="09C48028"/>
    <w:rsid w:val="09FA3662"/>
    <w:rsid w:val="0A20BE15"/>
    <w:rsid w:val="0A5D4EE3"/>
    <w:rsid w:val="0C194FA7"/>
    <w:rsid w:val="0C550923"/>
    <w:rsid w:val="0C6C964E"/>
    <w:rsid w:val="0D7FB128"/>
    <w:rsid w:val="0DE08390"/>
    <w:rsid w:val="0E0D4D67"/>
    <w:rsid w:val="0F023FC2"/>
    <w:rsid w:val="0F070DAE"/>
    <w:rsid w:val="0F0BF58E"/>
    <w:rsid w:val="0F359C41"/>
    <w:rsid w:val="0F58AC4C"/>
    <w:rsid w:val="0F9A40AB"/>
    <w:rsid w:val="106A04DC"/>
    <w:rsid w:val="11018672"/>
    <w:rsid w:val="12A90EB9"/>
    <w:rsid w:val="12FEBFA5"/>
    <w:rsid w:val="13145E31"/>
    <w:rsid w:val="135FE9E4"/>
    <w:rsid w:val="13F98A38"/>
    <w:rsid w:val="1403E442"/>
    <w:rsid w:val="161FD593"/>
    <w:rsid w:val="18010F39"/>
    <w:rsid w:val="18660826"/>
    <w:rsid w:val="189C845E"/>
    <w:rsid w:val="18AA9520"/>
    <w:rsid w:val="190BA850"/>
    <w:rsid w:val="19B7C5FC"/>
    <w:rsid w:val="1A0A9832"/>
    <w:rsid w:val="1AC255C8"/>
    <w:rsid w:val="1B654863"/>
    <w:rsid w:val="1B7B9558"/>
    <w:rsid w:val="1BE6C9D9"/>
    <w:rsid w:val="1E545179"/>
    <w:rsid w:val="1F56A3D7"/>
    <w:rsid w:val="1F9995C0"/>
    <w:rsid w:val="215D969C"/>
    <w:rsid w:val="21C4E1D5"/>
    <w:rsid w:val="2246E0D9"/>
    <w:rsid w:val="245F59BE"/>
    <w:rsid w:val="25194724"/>
    <w:rsid w:val="261032E3"/>
    <w:rsid w:val="267A1DF0"/>
    <w:rsid w:val="273E944B"/>
    <w:rsid w:val="27D07C87"/>
    <w:rsid w:val="27D3B8AD"/>
    <w:rsid w:val="283840E4"/>
    <w:rsid w:val="28408C21"/>
    <w:rsid w:val="2960E3A5"/>
    <w:rsid w:val="299C509C"/>
    <w:rsid w:val="2AF822AF"/>
    <w:rsid w:val="2AFD1948"/>
    <w:rsid w:val="2B1D61AC"/>
    <w:rsid w:val="2C2D06BE"/>
    <w:rsid w:val="2C470F3E"/>
    <w:rsid w:val="2C72DAD2"/>
    <w:rsid w:val="2C8E69C2"/>
    <w:rsid w:val="2D1B4794"/>
    <w:rsid w:val="2D70021C"/>
    <w:rsid w:val="2D7EADCE"/>
    <w:rsid w:val="2DB7E911"/>
    <w:rsid w:val="312EA73E"/>
    <w:rsid w:val="32115A89"/>
    <w:rsid w:val="32502BC4"/>
    <w:rsid w:val="336590ED"/>
    <w:rsid w:val="33E2E328"/>
    <w:rsid w:val="34379874"/>
    <w:rsid w:val="344A2C96"/>
    <w:rsid w:val="348D936D"/>
    <w:rsid w:val="34CB7D0D"/>
    <w:rsid w:val="35F788AB"/>
    <w:rsid w:val="3782C689"/>
    <w:rsid w:val="381F0DB5"/>
    <w:rsid w:val="3890AE4B"/>
    <w:rsid w:val="38BB1347"/>
    <w:rsid w:val="38D4AEA3"/>
    <w:rsid w:val="39551C13"/>
    <w:rsid w:val="39A97969"/>
    <w:rsid w:val="39C152D0"/>
    <w:rsid w:val="3A3CDBBC"/>
    <w:rsid w:val="3B713EDF"/>
    <w:rsid w:val="3DE542CB"/>
    <w:rsid w:val="3E013005"/>
    <w:rsid w:val="3E23EC8E"/>
    <w:rsid w:val="4050EDBD"/>
    <w:rsid w:val="405DC2BB"/>
    <w:rsid w:val="4062573A"/>
    <w:rsid w:val="42A0822C"/>
    <w:rsid w:val="42E7D701"/>
    <w:rsid w:val="43072C0C"/>
    <w:rsid w:val="439EE897"/>
    <w:rsid w:val="443C17BE"/>
    <w:rsid w:val="44860E61"/>
    <w:rsid w:val="45053F7C"/>
    <w:rsid w:val="458858BF"/>
    <w:rsid w:val="4629ED5B"/>
    <w:rsid w:val="462B5E7A"/>
    <w:rsid w:val="48BBBA25"/>
    <w:rsid w:val="49935D40"/>
    <w:rsid w:val="4AA11217"/>
    <w:rsid w:val="4C8D9D46"/>
    <w:rsid w:val="4E94C6C7"/>
    <w:rsid w:val="4EB2731E"/>
    <w:rsid w:val="4F439F5A"/>
    <w:rsid w:val="4F9BDA78"/>
    <w:rsid w:val="4FC01BA5"/>
    <w:rsid w:val="506258AF"/>
    <w:rsid w:val="531CAA8C"/>
    <w:rsid w:val="53900108"/>
    <w:rsid w:val="53D61674"/>
    <w:rsid w:val="54740305"/>
    <w:rsid w:val="54DF954F"/>
    <w:rsid w:val="55577408"/>
    <w:rsid w:val="574205B0"/>
    <w:rsid w:val="577700B9"/>
    <w:rsid w:val="57A43DB5"/>
    <w:rsid w:val="57DB46F5"/>
    <w:rsid w:val="58856E8E"/>
    <w:rsid w:val="58FF5D89"/>
    <w:rsid w:val="5989AE2E"/>
    <w:rsid w:val="5B88F2DF"/>
    <w:rsid w:val="5CA24DD2"/>
    <w:rsid w:val="601D0AF8"/>
    <w:rsid w:val="606B9295"/>
    <w:rsid w:val="63412B2A"/>
    <w:rsid w:val="6389C381"/>
    <w:rsid w:val="6390DBA9"/>
    <w:rsid w:val="63CE2787"/>
    <w:rsid w:val="64420753"/>
    <w:rsid w:val="655AF4A0"/>
    <w:rsid w:val="6587C55B"/>
    <w:rsid w:val="66E491E7"/>
    <w:rsid w:val="6717741D"/>
    <w:rsid w:val="67E878BF"/>
    <w:rsid w:val="68A18108"/>
    <w:rsid w:val="69C4FB10"/>
    <w:rsid w:val="6A02D953"/>
    <w:rsid w:val="6A112C34"/>
    <w:rsid w:val="6A8A213E"/>
    <w:rsid w:val="6ADCBFD3"/>
    <w:rsid w:val="6B0B5644"/>
    <w:rsid w:val="6D474581"/>
    <w:rsid w:val="6DDE418D"/>
    <w:rsid w:val="6FFB2B30"/>
    <w:rsid w:val="70EF1E11"/>
    <w:rsid w:val="717E59AC"/>
    <w:rsid w:val="71F0BD08"/>
    <w:rsid w:val="7238036E"/>
    <w:rsid w:val="729F7F7B"/>
    <w:rsid w:val="731F70A6"/>
    <w:rsid w:val="74775F1E"/>
    <w:rsid w:val="7662EA7D"/>
    <w:rsid w:val="77315CC1"/>
    <w:rsid w:val="774AF912"/>
    <w:rsid w:val="77C5638C"/>
    <w:rsid w:val="78BF025C"/>
    <w:rsid w:val="7B7419F5"/>
    <w:rsid w:val="7C2887D7"/>
    <w:rsid w:val="7D503E41"/>
    <w:rsid w:val="7D9645E5"/>
    <w:rsid w:val="7D9B4FF8"/>
    <w:rsid w:val="7DEF55B3"/>
    <w:rsid w:val="7F8F4208"/>
    <w:rsid w:val="7FD7A9B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144FEC"/>
  <w15:chartTrackingRefBased/>
  <w15:docId w15:val="{16668219-54C2-458C-BF4B-B110F8E9A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5E8F"/>
    <w:rPr>
      <w:rFonts w:ascii="Times New Roman" w:hAnsi="Times New Roman"/>
      <w:sz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3A7BDE"/>
    <w:pPr>
      <w:numPr>
        <w:ilvl w:val="1"/>
        <w:numId w:val="18"/>
      </w:numPr>
    </w:pPr>
    <w:rPr>
      <w:rFonts w:eastAsia="SimSun"/>
      <w:lang w:val="en-US" w:eastAsia="zh-CN"/>
    </w:rPr>
  </w:style>
  <w:style w:type="paragraph" w:customStyle="1" w:styleId="RAN4H1">
    <w:name w:val="RAN4 H1"/>
    <w:basedOn w:val="Normal"/>
    <w:next w:val="Normal"/>
    <w:link w:val="RAN4H1Char"/>
    <w:qFormat/>
    <w:rsid w:val="00AE56B1"/>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3A7BDE"/>
    <w:rPr>
      <w:rFonts w:ascii="Arial" w:eastAsia="SimSun" w:hAnsi="Arial" w:cs="Times New Roman"/>
      <w:sz w:val="32"/>
      <w:szCs w:val="20"/>
      <w:lang w:val="en-GB" w:eastAsia="zh-CN"/>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4"/>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950D7"/>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8"/>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w:hAnsi="Times"/>
        <w:b/>
        <w:color w:val="FFFFFF" w:themeColor="background1"/>
        <w:sz w:val="20"/>
      </w:rPr>
      <w:tblPr/>
      <w:tcPr>
        <w:shd w:val="clear" w:color="auto" w:fill="124191"/>
      </w:tcPr>
    </w:tblStylePr>
  </w:style>
  <w:style w:type="paragraph" w:styleId="TOC4">
    <w:name w:val="toc 4"/>
    <w:basedOn w:val="Normal"/>
    <w:next w:val="Normal"/>
    <w:autoRedefine/>
    <w:uiPriority w:val="39"/>
    <w:unhideWhenUsed/>
    <w:qFormat/>
    <w:rsid w:val="00CD7FBB"/>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character" w:styleId="Mention">
    <w:name w:val="Mention"/>
    <w:basedOn w:val="DefaultParagraphFont"/>
    <w:uiPriority w:val="99"/>
    <w:unhideWhenUsed/>
    <w:rsid w:val="007F5B63"/>
    <w:rPr>
      <w:color w:val="2B579A"/>
      <w:shd w:val="clear" w:color="auto" w:fill="E1DFDD"/>
    </w:rPr>
  </w:style>
  <w:style w:type="paragraph" w:customStyle="1" w:styleId="B1">
    <w:name w:val="B1"/>
    <w:basedOn w:val="List"/>
    <w:link w:val="B1Char"/>
    <w:qFormat/>
    <w:rsid w:val="0033538D"/>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33538D"/>
    <w:rPr>
      <w:rFonts w:ascii="Times New Roman" w:eastAsia="Times New Roman" w:hAnsi="Times New Roman" w:cs="Times New Roman"/>
      <w:sz w:val="20"/>
      <w:szCs w:val="20"/>
      <w:lang w:val="en-GB" w:eastAsia="en-GB"/>
    </w:rPr>
  </w:style>
  <w:style w:type="paragraph" w:customStyle="1" w:styleId="B2">
    <w:name w:val="B2"/>
    <w:basedOn w:val="List2"/>
    <w:link w:val="B2Char"/>
    <w:qFormat/>
    <w:rsid w:val="0033538D"/>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3538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33538D"/>
    <w:pPr>
      <w:ind w:left="283" w:hanging="283"/>
      <w:contextualSpacing/>
    </w:pPr>
  </w:style>
  <w:style w:type="paragraph" w:styleId="List2">
    <w:name w:val="List 2"/>
    <w:basedOn w:val="Normal"/>
    <w:uiPriority w:val="99"/>
    <w:semiHidden/>
    <w:unhideWhenUsed/>
    <w:rsid w:val="0033538D"/>
    <w:pPr>
      <w:ind w:left="566" w:hanging="283"/>
      <w:contextualSpacing/>
    </w:pPr>
  </w:style>
  <w:style w:type="paragraph" w:styleId="Revision">
    <w:name w:val="Revision"/>
    <w:hidden/>
    <w:uiPriority w:val="99"/>
    <w:semiHidden/>
    <w:rsid w:val="00DE0139"/>
    <w:pPr>
      <w:spacing w:after="0" w:line="240" w:lineRule="auto"/>
    </w:pPr>
    <w:rPr>
      <w:rFonts w:ascii="Times New Roman" w:hAnsi="Times New Roman"/>
      <w:sz w:val="20"/>
      <w:lang w:val="en-GB"/>
    </w:rPr>
  </w:style>
  <w:style w:type="paragraph" w:customStyle="1" w:styleId="Agreement">
    <w:name w:val="Agreement"/>
    <w:basedOn w:val="Normal"/>
    <w:next w:val="Normal"/>
    <w:uiPriority w:val="99"/>
    <w:qFormat/>
    <w:rsid w:val="00101EEC"/>
    <w:pPr>
      <w:tabs>
        <w:tab w:val="num" w:pos="1619"/>
      </w:tabs>
      <w:spacing w:before="60" w:after="0" w:line="240" w:lineRule="auto"/>
      <w:ind w:left="1619"/>
    </w:pPr>
    <w:rPr>
      <w:rFonts w:ascii="Arial" w:eastAsia="MS Mincho" w:hAnsi="Arial" w:cs="Times New Roman"/>
      <w:b/>
      <w:szCs w:val="24"/>
      <w:lang w:eastAsia="en-GB"/>
    </w:rPr>
  </w:style>
  <w:style w:type="character" w:styleId="PlaceholderText">
    <w:name w:val="Placeholder Text"/>
    <w:basedOn w:val="DefaultParagraphFont"/>
    <w:uiPriority w:val="99"/>
    <w:semiHidden/>
    <w:rsid w:val="00E810A6"/>
    <w:rPr>
      <w:color w:val="666666"/>
    </w:rPr>
  </w:style>
  <w:style w:type="paragraph" w:customStyle="1" w:styleId="CRCoverPage">
    <w:name w:val="CR Cover Page"/>
    <w:rsid w:val="00261A86"/>
    <w:pPr>
      <w:spacing w:after="120" w:line="240" w:lineRule="auto"/>
    </w:pPr>
    <w:rPr>
      <w:rFonts w:ascii="Arial" w:eastAsia="SimSun" w:hAnsi="Arial" w:cs="Times New Roman"/>
      <w:sz w:val="20"/>
      <w:szCs w:val="20"/>
      <w:lang w:val="en-GB"/>
    </w:rPr>
  </w:style>
  <w:style w:type="paragraph" w:styleId="BodyText">
    <w:name w:val="Body Text"/>
    <w:aliases w:val="bt"/>
    <w:basedOn w:val="Normal"/>
    <w:link w:val="BodyTextChar"/>
    <w:rsid w:val="00073F91"/>
    <w:pPr>
      <w:spacing w:after="120" w:line="240" w:lineRule="auto"/>
      <w:ind w:left="1440" w:hanging="1440"/>
      <w:jc w:val="both"/>
    </w:pPr>
    <w:rPr>
      <w:rFonts w:ascii="Times" w:eastAsia="Batang" w:hAnsi="Times" w:cs="Times New Roman"/>
      <w:szCs w:val="24"/>
    </w:rPr>
  </w:style>
  <w:style w:type="character" w:customStyle="1" w:styleId="BodyTextChar">
    <w:name w:val="Body Text Char"/>
    <w:aliases w:val="bt Char"/>
    <w:basedOn w:val="DefaultParagraphFont"/>
    <w:link w:val="BodyText"/>
    <w:rsid w:val="00073F91"/>
    <w:rPr>
      <w:rFonts w:ascii="Times" w:eastAsia="Batang" w:hAnsi="Times" w:cs="Times New Roman"/>
      <w:sz w:val="20"/>
      <w:szCs w:val="24"/>
      <w:lang w:val="en-GB"/>
    </w:rPr>
  </w:style>
  <w:style w:type="paragraph" w:customStyle="1" w:styleId="References">
    <w:name w:val="References"/>
    <w:basedOn w:val="Normal"/>
    <w:rsid w:val="00073F91"/>
    <w:pPr>
      <w:numPr>
        <w:ilvl w:val="2"/>
        <w:numId w:val="61"/>
      </w:numPr>
      <w:spacing w:after="0" w:line="240" w:lineRule="auto"/>
    </w:pPr>
    <w:rPr>
      <w:rFonts w:eastAsia="Times New Roman" w:cs="Times New Roman"/>
      <w:szCs w:val="24"/>
      <w:lang w:val="en-US"/>
    </w:rPr>
  </w:style>
  <w:style w:type="paragraph" w:styleId="NormalWeb">
    <w:name w:val="Normal (Web)"/>
    <w:basedOn w:val="Normal"/>
    <w:uiPriority w:val="99"/>
    <w:unhideWhenUsed/>
    <w:qFormat/>
    <w:rsid w:val="00073F91"/>
    <w:pPr>
      <w:spacing w:before="100" w:beforeAutospacing="1" w:after="100" w:afterAutospacing="1" w:line="240" w:lineRule="auto"/>
    </w:pPr>
    <w:rPr>
      <w:rFonts w:eastAsia="Times New Roman" w:cs="Times New Roman"/>
      <w:sz w:val="24"/>
      <w:szCs w:val="24"/>
    </w:rPr>
  </w:style>
  <w:style w:type="paragraph" w:customStyle="1" w:styleId="paragraph">
    <w:name w:val="paragraph"/>
    <w:basedOn w:val="Normal"/>
    <w:rsid w:val="009133AE"/>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9133AE"/>
  </w:style>
  <w:style w:type="character" w:customStyle="1" w:styleId="eop">
    <w:name w:val="eop"/>
    <w:basedOn w:val="DefaultParagraphFont"/>
    <w:rsid w:val="009133AE"/>
  </w:style>
  <w:style w:type="paragraph" w:customStyle="1" w:styleId="B3">
    <w:name w:val="B3"/>
    <w:basedOn w:val="List3"/>
    <w:link w:val="B3Char"/>
    <w:qFormat/>
    <w:rsid w:val="00342259"/>
    <w:pPr>
      <w:spacing w:after="180" w:line="240" w:lineRule="auto"/>
      <w:ind w:leftChars="0" w:left="1135" w:firstLineChars="0" w:hanging="284"/>
      <w:contextualSpacing w:val="0"/>
    </w:pPr>
    <w:rPr>
      <w:rFonts w:cs="Times New Roman"/>
      <w:szCs w:val="20"/>
    </w:rPr>
  </w:style>
  <w:style w:type="character" w:customStyle="1" w:styleId="B3Char">
    <w:name w:val="B3 Char"/>
    <w:link w:val="B3"/>
    <w:qFormat/>
    <w:locked/>
    <w:rsid w:val="00342259"/>
    <w:rPr>
      <w:rFonts w:ascii="Times New Roman" w:hAnsi="Times New Roman" w:cs="Times New Roman"/>
      <w:sz w:val="20"/>
      <w:szCs w:val="20"/>
      <w:lang w:val="en-GB"/>
    </w:rPr>
  </w:style>
  <w:style w:type="paragraph" w:styleId="List3">
    <w:name w:val="List 3"/>
    <w:basedOn w:val="Normal"/>
    <w:uiPriority w:val="99"/>
    <w:semiHidden/>
    <w:unhideWhenUsed/>
    <w:rsid w:val="00342259"/>
    <w:pPr>
      <w:ind w:leftChars="400" w:left="100" w:hangingChars="200" w:hanging="200"/>
      <w:contextualSpacing/>
    </w:pPr>
  </w:style>
  <w:style w:type="paragraph" w:styleId="TOC9">
    <w:name w:val="toc 9"/>
    <w:basedOn w:val="Normal"/>
    <w:next w:val="Normal"/>
    <w:autoRedefine/>
    <w:uiPriority w:val="39"/>
    <w:semiHidden/>
    <w:unhideWhenUsed/>
    <w:rsid w:val="007F76F9"/>
    <w:pPr>
      <w:spacing w:after="100"/>
      <w:ind w:left="1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312141">
      <w:bodyDiv w:val="1"/>
      <w:marLeft w:val="0"/>
      <w:marRight w:val="0"/>
      <w:marTop w:val="0"/>
      <w:marBottom w:val="0"/>
      <w:divBdr>
        <w:top w:val="none" w:sz="0" w:space="0" w:color="auto"/>
        <w:left w:val="none" w:sz="0" w:space="0" w:color="auto"/>
        <w:bottom w:val="none" w:sz="0" w:space="0" w:color="auto"/>
        <w:right w:val="none" w:sz="0" w:space="0" w:color="auto"/>
      </w:divBdr>
    </w:div>
    <w:div w:id="296884130">
      <w:bodyDiv w:val="1"/>
      <w:marLeft w:val="0"/>
      <w:marRight w:val="0"/>
      <w:marTop w:val="0"/>
      <w:marBottom w:val="0"/>
      <w:divBdr>
        <w:top w:val="none" w:sz="0" w:space="0" w:color="auto"/>
        <w:left w:val="none" w:sz="0" w:space="0" w:color="auto"/>
        <w:bottom w:val="none" w:sz="0" w:space="0" w:color="auto"/>
        <w:right w:val="none" w:sz="0" w:space="0" w:color="auto"/>
      </w:divBdr>
    </w:div>
    <w:div w:id="383145109">
      <w:bodyDiv w:val="1"/>
      <w:marLeft w:val="0"/>
      <w:marRight w:val="0"/>
      <w:marTop w:val="0"/>
      <w:marBottom w:val="0"/>
      <w:divBdr>
        <w:top w:val="none" w:sz="0" w:space="0" w:color="auto"/>
        <w:left w:val="none" w:sz="0" w:space="0" w:color="auto"/>
        <w:bottom w:val="none" w:sz="0" w:space="0" w:color="auto"/>
        <w:right w:val="none" w:sz="0" w:space="0" w:color="auto"/>
      </w:divBdr>
    </w:div>
    <w:div w:id="385957749">
      <w:bodyDiv w:val="1"/>
      <w:marLeft w:val="0"/>
      <w:marRight w:val="0"/>
      <w:marTop w:val="0"/>
      <w:marBottom w:val="0"/>
      <w:divBdr>
        <w:top w:val="none" w:sz="0" w:space="0" w:color="auto"/>
        <w:left w:val="none" w:sz="0" w:space="0" w:color="auto"/>
        <w:bottom w:val="none" w:sz="0" w:space="0" w:color="auto"/>
        <w:right w:val="none" w:sz="0" w:space="0" w:color="auto"/>
      </w:divBdr>
      <w:divsChild>
        <w:div w:id="210457933">
          <w:marLeft w:val="0"/>
          <w:marRight w:val="0"/>
          <w:marTop w:val="0"/>
          <w:marBottom w:val="0"/>
          <w:divBdr>
            <w:top w:val="none" w:sz="0" w:space="0" w:color="auto"/>
            <w:left w:val="none" w:sz="0" w:space="0" w:color="auto"/>
            <w:bottom w:val="none" w:sz="0" w:space="0" w:color="auto"/>
            <w:right w:val="none" w:sz="0" w:space="0" w:color="auto"/>
          </w:divBdr>
        </w:div>
      </w:divsChild>
    </w:div>
    <w:div w:id="429812087">
      <w:bodyDiv w:val="1"/>
      <w:marLeft w:val="0"/>
      <w:marRight w:val="0"/>
      <w:marTop w:val="0"/>
      <w:marBottom w:val="0"/>
      <w:divBdr>
        <w:top w:val="none" w:sz="0" w:space="0" w:color="auto"/>
        <w:left w:val="none" w:sz="0" w:space="0" w:color="auto"/>
        <w:bottom w:val="none" w:sz="0" w:space="0" w:color="auto"/>
        <w:right w:val="none" w:sz="0" w:space="0" w:color="auto"/>
      </w:divBdr>
    </w:div>
    <w:div w:id="506217093">
      <w:bodyDiv w:val="1"/>
      <w:marLeft w:val="0"/>
      <w:marRight w:val="0"/>
      <w:marTop w:val="0"/>
      <w:marBottom w:val="0"/>
      <w:divBdr>
        <w:top w:val="none" w:sz="0" w:space="0" w:color="auto"/>
        <w:left w:val="none" w:sz="0" w:space="0" w:color="auto"/>
        <w:bottom w:val="none" w:sz="0" w:space="0" w:color="auto"/>
        <w:right w:val="none" w:sz="0" w:space="0" w:color="auto"/>
      </w:divBdr>
      <w:divsChild>
        <w:div w:id="637876919">
          <w:marLeft w:val="0"/>
          <w:marRight w:val="0"/>
          <w:marTop w:val="0"/>
          <w:marBottom w:val="0"/>
          <w:divBdr>
            <w:top w:val="none" w:sz="0" w:space="0" w:color="auto"/>
            <w:left w:val="none" w:sz="0" w:space="0" w:color="auto"/>
            <w:bottom w:val="none" w:sz="0" w:space="0" w:color="auto"/>
            <w:right w:val="none" w:sz="0" w:space="0" w:color="auto"/>
          </w:divBdr>
        </w:div>
      </w:divsChild>
    </w:div>
    <w:div w:id="507519955">
      <w:bodyDiv w:val="1"/>
      <w:marLeft w:val="0"/>
      <w:marRight w:val="0"/>
      <w:marTop w:val="0"/>
      <w:marBottom w:val="0"/>
      <w:divBdr>
        <w:top w:val="none" w:sz="0" w:space="0" w:color="auto"/>
        <w:left w:val="none" w:sz="0" w:space="0" w:color="auto"/>
        <w:bottom w:val="none" w:sz="0" w:space="0" w:color="auto"/>
        <w:right w:val="none" w:sz="0" w:space="0" w:color="auto"/>
      </w:divBdr>
    </w:div>
    <w:div w:id="511719982">
      <w:bodyDiv w:val="1"/>
      <w:marLeft w:val="0"/>
      <w:marRight w:val="0"/>
      <w:marTop w:val="0"/>
      <w:marBottom w:val="0"/>
      <w:divBdr>
        <w:top w:val="none" w:sz="0" w:space="0" w:color="auto"/>
        <w:left w:val="none" w:sz="0" w:space="0" w:color="auto"/>
        <w:bottom w:val="none" w:sz="0" w:space="0" w:color="auto"/>
        <w:right w:val="none" w:sz="0" w:space="0" w:color="auto"/>
      </w:divBdr>
    </w:div>
    <w:div w:id="512231086">
      <w:bodyDiv w:val="1"/>
      <w:marLeft w:val="0"/>
      <w:marRight w:val="0"/>
      <w:marTop w:val="0"/>
      <w:marBottom w:val="0"/>
      <w:divBdr>
        <w:top w:val="none" w:sz="0" w:space="0" w:color="auto"/>
        <w:left w:val="none" w:sz="0" w:space="0" w:color="auto"/>
        <w:bottom w:val="none" w:sz="0" w:space="0" w:color="auto"/>
        <w:right w:val="none" w:sz="0" w:space="0" w:color="auto"/>
      </w:divBdr>
    </w:div>
    <w:div w:id="515004901">
      <w:bodyDiv w:val="1"/>
      <w:marLeft w:val="0"/>
      <w:marRight w:val="0"/>
      <w:marTop w:val="0"/>
      <w:marBottom w:val="0"/>
      <w:divBdr>
        <w:top w:val="none" w:sz="0" w:space="0" w:color="auto"/>
        <w:left w:val="none" w:sz="0" w:space="0" w:color="auto"/>
        <w:bottom w:val="none" w:sz="0" w:space="0" w:color="auto"/>
        <w:right w:val="none" w:sz="0" w:space="0" w:color="auto"/>
      </w:divBdr>
    </w:div>
    <w:div w:id="584995532">
      <w:bodyDiv w:val="1"/>
      <w:marLeft w:val="0"/>
      <w:marRight w:val="0"/>
      <w:marTop w:val="0"/>
      <w:marBottom w:val="0"/>
      <w:divBdr>
        <w:top w:val="none" w:sz="0" w:space="0" w:color="auto"/>
        <w:left w:val="none" w:sz="0" w:space="0" w:color="auto"/>
        <w:bottom w:val="none" w:sz="0" w:space="0" w:color="auto"/>
        <w:right w:val="none" w:sz="0" w:space="0" w:color="auto"/>
      </w:divBdr>
    </w:div>
    <w:div w:id="621420611">
      <w:bodyDiv w:val="1"/>
      <w:marLeft w:val="0"/>
      <w:marRight w:val="0"/>
      <w:marTop w:val="0"/>
      <w:marBottom w:val="0"/>
      <w:divBdr>
        <w:top w:val="none" w:sz="0" w:space="0" w:color="auto"/>
        <w:left w:val="none" w:sz="0" w:space="0" w:color="auto"/>
        <w:bottom w:val="none" w:sz="0" w:space="0" w:color="auto"/>
        <w:right w:val="none" w:sz="0" w:space="0" w:color="auto"/>
      </w:divBdr>
    </w:div>
    <w:div w:id="642125106">
      <w:bodyDiv w:val="1"/>
      <w:marLeft w:val="0"/>
      <w:marRight w:val="0"/>
      <w:marTop w:val="0"/>
      <w:marBottom w:val="0"/>
      <w:divBdr>
        <w:top w:val="none" w:sz="0" w:space="0" w:color="auto"/>
        <w:left w:val="none" w:sz="0" w:space="0" w:color="auto"/>
        <w:bottom w:val="none" w:sz="0" w:space="0" w:color="auto"/>
        <w:right w:val="none" w:sz="0" w:space="0" w:color="auto"/>
      </w:divBdr>
    </w:div>
    <w:div w:id="694111821">
      <w:bodyDiv w:val="1"/>
      <w:marLeft w:val="0"/>
      <w:marRight w:val="0"/>
      <w:marTop w:val="0"/>
      <w:marBottom w:val="0"/>
      <w:divBdr>
        <w:top w:val="none" w:sz="0" w:space="0" w:color="auto"/>
        <w:left w:val="none" w:sz="0" w:space="0" w:color="auto"/>
        <w:bottom w:val="none" w:sz="0" w:space="0" w:color="auto"/>
        <w:right w:val="none" w:sz="0" w:space="0" w:color="auto"/>
      </w:divBdr>
    </w:div>
    <w:div w:id="709379918">
      <w:bodyDiv w:val="1"/>
      <w:marLeft w:val="0"/>
      <w:marRight w:val="0"/>
      <w:marTop w:val="0"/>
      <w:marBottom w:val="0"/>
      <w:divBdr>
        <w:top w:val="none" w:sz="0" w:space="0" w:color="auto"/>
        <w:left w:val="none" w:sz="0" w:space="0" w:color="auto"/>
        <w:bottom w:val="none" w:sz="0" w:space="0" w:color="auto"/>
        <w:right w:val="none" w:sz="0" w:space="0" w:color="auto"/>
      </w:divBdr>
      <w:divsChild>
        <w:div w:id="23945614">
          <w:marLeft w:val="0"/>
          <w:marRight w:val="0"/>
          <w:marTop w:val="0"/>
          <w:marBottom w:val="0"/>
          <w:divBdr>
            <w:top w:val="none" w:sz="0" w:space="0" w:color="auto"/>
            <w:left w:val="none" w:sz="0" w:space="0" w:color="auto"/>
            <w:bottom w:val="none" w:sz="0" w:space="0" w:color="auto"/>
            <w:right w:val="none" w:sz="0" w:space="0" w:color="auto"/>
          </w:divBdr>
        </w:div>
      </w:divsChild>
    </w:div>
    <w:div w:id="722406864">
      <w:bodyDiv w:val="1"/>
      <w:marLeft w:val="0"/>
      <w:marRight w:val="0"/>
      <w:marTop w:val="0"/>
      <w:marBottom w:val="0"/>
      <w:divBdr>
        <w:top w:val="none" w:sz="0" w:space="0" w:color="auto"/>
        <w:left w:val="none" w:sz="0" w:space="0" w:color="auto"/>
        <w:bottom w:val="none" w:sz="0" w:space="0" w:color="auto"/>
        <w:right w:val="none" w:sz="0" w:space="0" w:color="auto"/>
      </w:divBdr>
    </w:div>
    <w:div w:id="771243533">
      <w:bodyDiv w:val="1"/>
      <w:marLeft w:val="0"/>
      <w:marRight w:val="0"/>
      <w:marTop w:val="0"/>
      <w:marBottom w:val="0"/>
      <w:divBdr>
        <w:top w:val="none" w:sz="0" w:space="0" w:color="auto"/>
        <w:left w:val="none" w:sz="0" w:space="0" w:color="auto"/>
        <w:bottom w:val="none" w:sz="0" w:space="0" w:color="auto"/>
        <w:right w:val="none" w:sz="0" w:space="0" w:color="auto"/>
      </w:divBdr>
    </w:div>
    <w:div w:id="785271526">
      <w:bodyDiv w:val="1"/>
      <w:marLeft w:val="0"/>
      <w:marRight w:val="0"/>
      <w:marTop w:val="0"/>
      <w:marBottom w:val="0"/>
      <w:divBdr>
        <w:top w:val="none" w:sz="0" w:space="0" w:color="auto"/>
        <w:left w:val="none" w:sz="0" w:space="0" w:color="auto"/>
        <w:bottom w:val="none" w:sz="0" w:space="0" w:color="auto"/>
        <w:right w:val="none" w:sz="0" w:space="0" w:color="auto"/>
      </w:divBdr>
    </w:div>
    <w:div w:id="870000680">
      <w:bodyDiv w:val="1"/>
      <w:marLeft w:val="0"/>
      <w:marRight w:val="0"/>
      <w:marTop w:val="0"/>
      <w:marBottom w:val="0"/>
      <w:divBdr>
        <w:top w:val="none" w:sz="0" w:space="0" w:color="auto"/>
        <w:left w:val="none" w:sz="0" w:space="0" w:color="auto"/>
        <w:bottom w:val="none" w:sz="0" w:space="0" w:color="auto"/>
        <w:right w:val="none" w:sz="0" w:space="0" w:color="auto"/>
      </w:divBdr>
    </w:div>
    <w:div w:id="879780162">
      <w:bodyDiv w:val="1"/>
      <w:marLeft w:val="0"/>
      <w:marRight w:val="0"/>
      <w:marTop w:val="0"/>
      <w:marBottom w:val="0"/>
      <w:divBdr>
        <w:top w:val="none" w:sz="0" w:space="0" w:color="auto"/>
        <w:left w:val="none" w:sz="0" w:space="0" w:color="auto"/>
        <w:bottom w:val="none" w:sz="0" w:space="0" w:color="auto"/>
        <w:right w:val="none" w:sz="0" w:space="0" w:color="auto"/>
      </w:divBdr>
    </w:div>
    <w:div w:id="932854625">
      <w:bodyDiv w:val="1"/>
      <w:marLeft w:val="0"/>
      <w:marRight w:val="0"/>
      <w:marTop w:val="0"/>
      <w:marBottom w:val="0"/>
      <w:divBdr>
        <w:top w:val="none" w:sz="0" w:space="0" w:color="auto"/>
        <w:left w:val="none" w:sz="0" w:space="0" w:color="auto"/>
        <w:bottom w:val="none" w:sz="0" w:space="0" w:color="auto"/>
        <w:right w:val="none" w:sz="0" w:space="0" w:color="auto"/>
      </w:divBdr>
    </w:div>
    <w:div w:id="947470497">
      <w:bodyDiv w:val="1"/>
      <w:marLeft w:val="0"/>
      <w:marRight w:val="0"/>
      <w:marTop w:val="0"/>
      <w:marBottom w:val="0"/>
      <w:divBdr>
        <w:top w:val="none" w:sz="0" w:space="0" w:color="auto"/>
        <w:left w:val="none" w:sz="0" w:space="0" w:color="auto"/>
        <w:bottom w:val="none" w:sz="0" w:space="0" w:color="auto"/>
        <w:right w:val="none" w:sz="0" w:space="0" w:color="auto"/>
      </w:divBdr>
    </w:div>
    <w:div w:id="987130381">
      <w:bodyDiv w:val="1"/>
      <w:marLeft w:val="0"/>
      <w:marRight w:val="0"/>
      <w:marTop w:val="0"/>
      <w:marBottom w:val="0"/>
      <w:divBdr>
        <w:top w:val="none" w:sz="0" w:space="0" w:color="auto"/>
        <w:left w:val="none" w:sz="0" w:space="0" w:color="auto"/>
        <w:bottom w:val="none" w:sz="0" w:space="0" w:color="auto"/>
        <w:right w:val="none" w:sz="0" w:space="0" w:color="auto"/>
      </w:divBdr>
      <w:divsChild>
        <w:div w:id="123425495">
          <w:marLeft w:val="0"/>
          <w:marRight w:val="0"/>
          <w:marTop w:val="0"/>
          <w:marBottom w:val="0"/>
          <w:divBdr>
            <w:top w:val="none" w:sz="0" w:space="0" w:color="auto"/>
            <w:left w:val="none" w:sz="0" w:space="0" w:color="auto"/>
            <w:bottom w:val="none" w:sz="0" w:space="0" w:color="auto"/>
            <w:right w:val="none" w:sz="0" w:space="0" w:color="auto"/>
          </w:divBdr>
        </w:div>
        <w:div w:id="177888869">
          <w:marLeft w:val="0"/>
          <w:marRight w:val="0"/>
          <w:marTop w:val="0"/>
          <w:marBottom w:val="0"/>
          <w:divBdr>
            <w:top w:val="none" w:sz="0" w:space="0" w:color="auto"/>
            <w:left w:val="none" w:sz="0" w:space="0" w:color="auto"/>
            <w:bottom w:val="none" w:sz="0" w:space="0" w:color="auto"/>
            <w:right w:val="none" w:sz="0" w:space="0" w:color="auto"/>
          </w:divBdr>
        </w:div>
        <w:div w:id="182793612">
          <w:marLeft w:val="0"/>
          <w:marRight w:val="0"/>
          <w:marTop w:val="0"/>
          <w:marBottom w:val="0"/>
          <w:divBdr>
            <w:top w:val="none" w:sz="0" w:space="0" w:color="auto"/>
            <w:left w:val="none" w:sz="0" w:space="0" w:color="auto"/>
            <w:bottom w:val="none" w:sz="0" w:space="0" w:color="auto"/>
            <w:right w:val="none" w:sz="0" w:space="0" w:color="auto"/>
          </w:divBdr>
        </w:div>
        <w:div w:id="222958090">
          <w:marLeft w:val="0"/>
          <w:marRight w:val="0"/>
          <w:marTop w:val="0"/>
          <w:marBottom w:val="0"/>
          <w:divBdr>
            <w:top w:val="none" w:sz="0" w:space="0" w:color="auto"/>
            <w:left w:val="none" w:sz="0" w:space="0" w:color="auto"/>
            <w:bottom w:val="none" w:sz="0" w:space="0" w:color="auto"/>
            <w:right w:val="none" w:sz="0" w:space="0" w:color="auto"/>
          </w:divBdr>
        </w:div>
        <w:div w:id="244849839">
          <w:marLeft w:val="0"/>
          <w:marRight w:val="0"/>
          <w:marTop w:val="0"/>
          <w:marBottom w:val="0"/>
          <w:divBdr>
            <w:top w:val="none" w:sz="0" w:space="0" w:color="auto"/>
            <w:left w:val="none" w:sz="0" w:space="0" w:color="auto"/>
            <w:bottom w:val="none" w:sz="0" w:space="0" w:color="auto"/>
            <w:right w:val="none" w:sz="0" w:space="0" w:color="auto"/>
          </w:divBdr>
        </w:div>
        <w:div w:id="326635708">
          <w:marLeft w:val="0"/>
          <w:marRight w:val="0"/>
          <w:marTop w:val="0"/>
          <w:marBottom w:val="0"/>
          <w:divBdr>
            <w:top w:val="none" w:sz="0" w:space="0" w:color="auto"/>
            <w:left w:val="none" w:sz="0" w:space="0" w:color="auto"/>
            <w:bottom w:val="none" w:sz="0" w:space="0" w:color="auto"/>
            <w:right w:val="none" w:sz="0" w:space="0" w:color="auto"/>
          </w:divBdr>
        </w:div>
        <w:div w:id="367415613">
          <w:marLeft w:val="0"/>
          <w:marRight w:val="0"/>
          <w:marTop w:val="0"/>
          <w:marBottom w:val="0"/>
          <w:divBdr>
            <w:top w:val="none" w:sz="0" w:space="0" w:color="auto"/>
            <w:left w:val="none" w:sz="0" w:space="0" w:color="auto"/>
            <w:bottom w:val="none" w:sz="0" w:space="0" w:color="auto"/>
            <w:right w:val="none" w:sz="0" w:space="0" w:color="auto"/>
          </w:divBdr>
        </w:div>
        <w:div w:id="393823126">
          <w:marLeft w:val="0"/>
          <w:marRight w:val="0"/>
          <w:marTop w:val="0"/>
          <w:marBottom w:val="0"/>
          <w:divBdr>
            <w:top w:val="none" w:sz="0" w:space="0" w:color="auto"/>
            <w:left w:val="none" w:sz="0" w:space="0" w:color="auto"/>
            <w:bottom w:val="none" w:sz="0" w:space="0" w:color="auto"/>
            <w:right w:val="none" w:sz="0" w:space="0" w:color="auto"/>
          </w:divBdr>
        </w:div>
        <w:div w:id="428624164">
          <w:marLeft w:val="0"/>
          <w:marRight w:val="0"/>
          <w:marTop w:val="0"/>
          <w:marBottom w:val="0"/>
          <w:divBdr>
            <w:top w:val="none" w:sz="0" w:space="0" w:color="auto"/>
            <w:left w:val="none" w:sz="0" w:space="0" w:color="auto"/>
            <w:bottom w:val="none" w:sz="0" w:space="0" w:color="auto"/>
            <w:right w:val="none" w:sz="0" w:space="0" w:color="auto"/>
          </w:divBdr>
        </w:div>
        <w:div w:id="464006943">
          <w:marLeft w:val="0"/>
          <w:marRight w:val="0"/>
          <w:marTop w:val="0"/>
          <w:marBottom w:val="0"/>
          <w:divBdr>
            <w:top w:val="none" w:sz="0" w:space="0" w:color="auto"/>
            <w:left w:val="none" w:sz="0" w:space="0" w:color="auto"/>
            <w:bottom w:val="none" w:sz="0" w:space="0" w:color="auto"/>
            <w:right w:val="none" w:sz="0" w:space="0" w:color="auto"/>
          </w:divBdr>
        </w:div>
        <w:div w:id="545217286">
          <w:marLeft w:val="0"/>
          <w:marRight w:val="0"/>
          <w:marTop w:val="0"/>
          <w:marBottom w:val="0"/>
          <w:divBdr>
            <w:top w:val="none" w:sz="0" w:space="0" w:color="auto"/>
            <w:left w:val="none" w:sz="0" w:space="0" w:color="auto"/>
            <w:bottom w:val="none" w:sz="0" w:space="0" w:color="auto"/>
            <w:right w:val="none" w:sz="0" w:space="0" w:color="auto"/>
          </w:divBdr>
        </w:div>
        <w:div w:id="685862452">
          <w:marLeft w:val="0"/>
          <w:marRight w:val="0"/>
          <w:marTop w:val="0"/>
          <w:marBottom w:val="0"/>
          <w:divBdr>
            <w:top w:val="none" w:sz="0" w:space="0" w:color="auto"/>
            <w:left w:val="none" w:sz="0" w:space="0" w:color="auto"/>
            <w:bottom w:val="none" w:sz="0" w:space="0" w:color="auto"/>
            <w:right w:val="none" w:sz="0" w:space="0" w:color="auto"/>
          </w:divBdr>
        </w:div>
        <w:div w:id="729887788">
          <w:marLeft w:val="0"/>
          <w:marRight w:val="0"/>
          <w:marTop w:val="0"/>
          <w:marBottom w:val="0"/>
          <w:divBdr>
            <w:top w:val="none" w:sz="0" w:space="0" w:color="auto"/>
            <w:left w:val="none" w:sz="0" w:space="0" w:color="auto"/>
            <w:bottom w:val="none" w:sz="0" w:space="0" w:color="auto"/>
            <w:right w:val="none" w:sz="0" w:space="0" w:color="auto"/>
          </w:divBdr>
        </w:div>
        <w:div w:id="749276463">
          <w:marLeft w:val="0"/>
          <w:marRight w:val="0"/>
          <w:marTop w:val="0"/>
          <w:marBottom w:val="0"/>
          <w:divBdr>
            <w:top w:val="none" w:sz="0" w:space="0" w:color="auto"/>
            <w:left w:val="none" w:sz="0" w:space="0" w:color="auto"/>
            <w:bottom w:val="none" w:sz="0" w:space="0" w:color="auto"/>
            <w:right w:val="none" w:sz="0" w:space="0" w:color="auto"/>
          </w:divBdr>
        </w:div>
        <w:div w:id="911357131">
          <w:marLeft w:val="0"/>
          <w:marRight w:val="0"/>
          <w:marTop w:val="0"/>
          <w:marBottom w:val="0"/>
          <w:divBdr>
            <w:top w:val="none" w:sz="0" w:space="0" w:color="auto"/>
            <w:left w:val="none" w:sz="0" w:space="0" w:color="auto"/>
            <w:bottom w:val="none" w:sz="0" w:space="0" w:color="auto"/>
            <w:right w:val="none" w:sz="0" w:space="0" w:color="auto"/>
          </w:divBdr>
        </w:div>
        <w:div w:id="974334336">
          <w:marLeft w:val="0"/>
          <w:marRight w:val="0"/>
          <w:marTop w:val="0"/>
          <w:marBottom w:val="0"/>
          <w:divBdr>
            <w:top w:val="none" w:sz="0" w:space="0" w:color="auto"/>
            <w:left w:val="none" w:sz="0" w:space="0" w:color="auto"/>
            <w:bottom w:val="none" w:sz="0" w:space="0" w:color="auto"/>
            <w:right w:val="none" w:sz="0" w:space="0" w:color="auto"/>
          </w:divBdr>
        </w:div>
        <w:div w:id="1047339230">
          <w:marLeft w:val="0"/>
          <w:marRight w:val="0"/>
          <w:marTop w:val="0"/>
          <w:marBottom w:val="0"/>
          <w:divBdr>
            <w:top w:val="none" w:sz="0" w:space="0" w:color="auto"/>
            <w:left w:val="none" w:sz="0" w:space="0" w:color="auto"/>
            <w:bottom w:val="none" w:sz="0" w:space="0" w:color="auto"/>
            <w:right w:val="none" w:sz="0" w:space="0" w:color="auto"/>
          </w:divBdr>
        </w:div>
        <w:div w:id="1254896997">
          <w:marLeft w:val="0"/>
          <w:marRight w:val="0"/>
          <w:marTop w:val="0"/>
          <w:marBottom w:val="0"/>
          <w:divBdr>
            <w:top w:val="none" w:sz="0" w:space="0" w:color="auto"/>
            <w:left w:val="none" w:sz="0" w:space="0" w:color="auto"/>
            <w:bottom w:val="none" w:sz="0" w:space="0" w:color="auto"/>
            <w:right w:val="none" w:sz="0" w:space="0" w:color="auto"/>
          </w:divBdr>
        </w:div>
        <w:div w:id="1272781100">
          <w:marLeft w:val="0"/>
          <w:marRight w:val="0"/>
          <w:marTop w:val="0"/>
          <w:marBottom w:val="0"/>
          <w:divBdr>
            <w:top w:val="none" w:sz="0" w:space="0" w:color="auto"/>
            <w:left w:val="none" w:sz="0" w:space="0" w:color="auto"/>
            <w:bottom w:val="none" w:sz="0" w:space="0" w:color="auto"/>
            <w:right w:val="none" w:sz="0" w:space="0" w:color="auto"/>
          </w:divBdr>
        </w:div>
        <w:div w:id="1404064997">
          <w:marLeft w:val="0"/>
          <w:marRight w:val="0"/>
          <w:marTop w:val="0"/>
          <w:marBottom w:val="0"/>
          <w:divBdr>
            <w:top w:val="none" w:sz="0" w:space="0" w:color="auto"/>
            <w:left w:val="none" w:sz="0" w:space="0" w:color="auto"/>
            <w:bottom w:val="none" w:sz="0" w:space="0" w:color="auto"/>
            <w:right w:val="none" w:sz="0" w:space="0" w:color="auto"/>
          </w:divBdr>
        </w:div>
        <w:div w:id="1459757154">
          <w:marLeft w:val="0"/>
          <w:marRight w:val="0"/>
          <w:marTop w:val="0"/>
          <w:marBottom w:val="0"/>
          <w:divBdr>
            <w:top w:val="none" w:sz="0" w:space="0" w:color="auto"/>
            <w:left w:val="none" w:sz="0" w:space="0" w:color="auto"/>
            <w:bottom w:val="none" w:sz="0" w:space="0" w:color="auto"/>
            <w:right w:val="none" w:sz="0" w:space="0" w:color="auto"/>
          </w:divBdr>
        </w:div>
        <w:div w:id="1602225800">
          <w:marLeft w:val="0"/>
          <w:marRight w:val="0"/>
          <w:marTop w:val="0"/>
          <w:marBottom w:val="0"/>
          <w:divBdr>
            <w:top w:val="none" w:sz="0" w:space="0" w:color="auto"/>
            <w:left w:val="none" w:sz="0" w:space="0" w:color="auto"/>
            <w:bottom w:val="none" w:sz="0" w:space="0" w:color="auto"/>
            <w:right w:val="none" w:sz="0" w:space="0" w:color="auto"/>
          </w:divBdr>
        </w:div>
        <w:div w:id="1662192550">
          <w:marLeft w:val="0"/>
          <w:marRight w:val="0"/>
          <w:marTop w:val="0"/>
          <w:marBottom w:val="0"/>
          <w:divBdr>
            <w:top w:val="none" w:sz="0" w:space="0" w:color="auto"/>
            <w:left w:val="none" w:sz="0" w:space="0" w:color="auto"/>
            <w:bottom w:val="none" w:sz="0" w:space="0" w:color="auto"/>
            <w:right w:val="none" w:sz="0" w:space="0" w:color="auto"/>
          </w:divBdr>
        </w:div>
        <w:div w:id="1811173587">
          <w:marLeft w:val="0"/>
          <w:marRight w:val="0"/>
          <w:marTop w:val="0"/>
          <w:marBottom w:val="0"/>
          <w:divBdr>
            <w:top w:val="none" w:sz="0" w:space="0" w:color="auto"/>
            <w:left w:val="none" w:sz="0" w:space="0" w:color="auto"/>
            <w:bottom w:val="none" w:sz="0" w:space="0" w:color="auto"/>
            <w:right w:val="none" w:sz="0" w:space="0" w:color="auto"/>
          </w:divBdr>
        </w:div>
        <w:div w:id="1889799673">
          <w:marLeft w:val="0"/>
          <w:marRight w:val="0"/>
          <w:marTop w:val="0"/>
          <w:marBottom w:val="0"/>
          <w:divBdr>
            <w:top w:val="none" w:sz="0" w:space="0" w:color="auto"/>
            <w:left w:val="none" w:sz="0" w:space="0" w:color="auto"/>
            <w:bottom w:val="none" w:sz="0" w:space="0" w:color="auto"/>
            <w:right w:val="none" w:sz="0" w:space="0" w:color="auto"/>
          </w:divBdr>
        </w:div>
        <w:div w:id="1983731019">
          <w:marLeft w:val="0"/>
          <w:marRight w:val="0"/>
          <w:marTop w:val="0"/>
          <w:marBottom w:val="0"/>
          <w:divBdr>
            <w:top w:val="none" w:sz="0" w:space="0" w:color="auto"/>
            <w:left w:val="none" w:sz="0" w:space="0" w:color="auto"/>
            <w:bottom w:val="none" w:sz="0" w:space="0" w:color="auto"/>
            <w:right w:val="none" w:sz="0" w:space="0" w:color="auto"/>
          </w:divBdr>
        </w:div>
        <w:div w:id="1998682242">
          <w:marLeft w:val="0"/>
          <w:marRight w:val="0"/>
          <w:marTop w:val="0"/>
          <w:marBottom w:val="0"/>
          <w:divBdr>
            <w:top w:val="none" w:sz="0" w:space="0" w:color="auto"/>
            <w:left w:val="none" w:sz="0" w:space="0" w:color="auto"/>
            <w:bottom w:val="none" w:sz="0" w:space="0" w:color="auto"/>
            <w:right w:val="none" w:sz="0" w:space="0" w:color="auto"/>
          </w:divBdr>
        </w:div>
        <w:div w:id="2018382142">
          <w:marLeft w:val="0"/>
          <w:marRight w:val="0"/>
          <w:marTop w:val="0"/>
          <w:marBottom w:val="0"/>
          <w:divBdr>
            <w:top w:val="none" w:sz="0" w:space="0" w:color="auto"/>
            <w:left w:val="none" w:sz="0" w:space="0" w:color="auto"/>
            <w:bottom w:val="none" w:sz="0" w:space="0" w:color="auto"/>
            <w:right w:val="none" w:sz="0" w:space="0" w:color="auto"/>
          </w:divBdr>
        </w:div>
      </w:divsChild>
    </w:div>
    <w:div w:id="1087965958">
      <w:bodyDiv w:val="1"/>
      <w:marLeft w:val="0"/>
      <w:marRight w:val="0"/>
      <w:marTop w:val="0"/>
      <w:marBottom w:val="0"/>
      <w:divBdr>
        <w:top w:val="none" w:sz="0" w:space="0" w:color="auto"/>
        <w:left w:val="none" w:sz="0" w:space="0" w:color="auto"/>
        <w:bottom w:val="none" w:sz="0" w:space="0" w:color="auto"/>
        <w:right w:val="none" w:sz="0" w:space="0" w:color="auto"/>
      </w:divBdr>
    </w:div>
    <w:div w:id="1116103422">
      <w:bodyDiv w:val="1"/>
      <w:marLeft w:val="0"/>
      <w:marRight w:val="0"/>
      <w:marTop w:val="0"/>
      <w:marBottom w:val="0"/>
      <w:divBdr>
        <w:top w:val="none" w:sz="0" w:space="0" w:color="auto"/>
        <w:left w:val="none" w:sz="0" w:space="0" w:color="auto"/>
        <w:bottom w:val="none" w:sz="0" w:space="0" w:color="auto"/>
        <w:right w:val="none" w:sz="0" w:space="0" w:color="auto"/>
      </w:divBdr>
    </w:div>
    <w:div w:id="1144128072">
      <w:bodyDiv w:val="1"/>
      <w:marLeft w:val="0"/>
      <w:marRight w:val="0"/>
      <w:marTop w:val="0"/>
      <w:marBottom w:val="0"/>
      <w:divBdr>
        <w:top w:val="none" w:sz="0" w:space="0" w:color="auto"/>
        <w:left w:val="none" w:sz="0" w:space="0" w:color="auto"/>
        <w:bottom w:val="none" w:sz="0" w:space="0" w:color="auto"/>
        <w:right w:val="none" w:sz="0" w:space="0" w:color="auto"/>
      </w:divBdr>
      <w:divsChild>
        <w:div w:id="173963488">
          <w:marLeft w:val="0"/>
          <w:marRight w:val="0"/>
          <w:marTop w:val="0"/>
          <w:marBottom w:val="0"/>
          <w:divBdr>
            <w:top w:val="none" w:sz="0" w:space="0" w:color="auto"/>
            <w:left w:val="none" w:sz="0" w:space="0" w:color="auto"/>
            <w:bottom w:val="none" w:sz="0" w:space="0" w:color="auto"/>
            <w:right w:val="none" w:sz="0" w:space="0" w:color="auto"/>
          </w:divBdr>
        </w:div>
        <w:div w:id="530996282">
          <w:marLeft w:val="0"/>
          <w:marRight w:val="0"/>
          <w:marTop w:val="0"/>
          <w:marBottom w:val="0"/>
          <w:divBdr>
            <w:top w:val="none" w:sz="0" w:space="0" w:color="auto"/>
            <w:left w:val="none" w:sz="0" w:space="0" w:color="auto"/>
            <w:bottom w:val="none" w:sz="0" w:space="0" w:color="auto"/>
            <w:right w:val="none" w:sz="0" w:space="0" w:color="auto"/>
          </w:divBdr>
        </w:div>
        <w:div w:id="929388783">
          <w:marLeft w:val="0"/>
          <w:marRight w:val="0"/>
          <w:marTop w:val="0"/>
          <w:marBottom w:val="0"/>
          <w:divBdr>
            <w:top w:val="none" w:sz="0" w:space="0" w:color="auto"/>
            <w:left w:val="none" w:sz="0" w:space="0" w:color="auto"/>
            <w:bottom w:val="none" w:sz="0" w:space="0" w:color="auto"/>
            <w:right w:val="none" w:sz="0" w:space="0" w:color="auto"/>
          </w:divBdr>
        </w:div>
        <w:div w:id="929580894">
          <w:marLeft w:val="0"/>
          <w:marRight w:val="0"/>
          <w:marTop w:val="0"/>
          <w:marBottom w:val="0"/>
          <w:divBdr>
            <w:top w:val="none" w:sz="0" w:space="0" w:color="auto"/>
            <w:left w:val="none" w:sz="0" w:space="0" w:color="auto"/>
            <w:bottom w:val="none" w:sz="0" w:space="0" w:color="auto"/>
            <w:right w:val="none" w:sz="0" w:space="0" w:color="auto"/>
          </w:divBdr>
        </w:div>
        <w:div w:id="1555849184">
          <w:marLeft w:val="0"/>
          <w:marRight w:val="0"/>
          <w:marTop w:val="0"/>
          <w:marBottom w:val="0"/>
          <w:divBdr>
            <w:top w:val="none" w:sz="0" w:space="0" w:color="auto"/>
            <w:left w:val="none" w:sz="0" w:space="0" w:color="auto"/>
            <w:bottom w:val="none" w:sz="0" w:space="0" w:color="auto"/>
            <w:right w:val="none" w:sz="0" w:space="0" w:color="auto"/>
          </w:divBdr>
        </w:div>
        <w:div w:id="1703089264">
          <w:marLeft w:val="0"/>
          <w:marRight w:val="0"/>
          <w:marTop w:val="0"/>
          <w:marBottom w:val="0"/>
          <w:divBdr>
            <w:top w:val="none" w:sz="0" w:space="0" w:color="auto"/>
            <w:left w:val="none" w:sz="0" w:space="0" w:color="auto"/>
            <w:bottom w:val="none" w:sz="0" w:space="0" w:color="auto"/>
            <w:right w:val="none" w:sz="0" w:space="0" w:color="auto"/>
          </w:divBdr>
        </w:div>
        <w:div w:id="1728457706">
          <w:marLeft w:val="0"/>
          <w:marRight w:val="0"/>
          <w:marTop w:val="0"/>
          <w:marBottom w:val="0"/>
          <w:divBdr>
            <w:top w:val="none" w:sz="0" w:space="0" w:color="auto"/>
            <w:left w:val="none" w:sz="0" w:space="0" w:color="auto"/>
            <w:bottom w:val="none" w:sz="0" w:space="0" w:color="auto"/>
            <w:right w:val="none" w:sz="0" w:space="0" w:color="auto"/>
          </w:divBdr>
        </w:div>
      </w:divsChild>
    </w:div>
    <w:div w:id="1176381097">
      <w:bodyDiv w:val="1"/>
      <w:marLeft w:val="0"/>
      <w:marRight w:val="0"/>
      <w:marTop w:val="0"/>
      <w:marBottom w:val="0"/>
      <w:divBdr>
        <w:top w:val="none" w:sz="0" w:space="0" w:color="auto"/>
        <w:left w:val="none" w:sz="0" w:space="0" w:color="auto"/>
        <w:bottom w:val="none" w:sz="0" w:space="0" w:color="auto"/>
        <w:right w:val="none" w:sz="0" w:space="0" w:color="auto"/>
      </w:divBdr>
    </w:div>
    <w:div w:id="1179465181">
      <w:bodyDiv w:val="1"/>
      <w:marLeft w:val="0"/>
      <w:marRight w:val="0"/>
      <w:marTop w:val="0"/>
      <w:marBottom w:val="0"/>
      <w:divBdr>
        <w:top w:val="none" w:sz="0" w:space="0" w:color="auto"/>
        <w:left w:val="none" w:sz="0" w:space="0" w:color="auto"/>
        <w:bottom w:val="none" w:sz="0" w:space="0" w:color="auto"/>
        <w:right w:val="none" w:sz="0" w:space="0" w:color="auto"/>
      </w:divBdr>
    </w:div>
    <w:div w:id="1182356856">
      <w:bodyDiv w:val="1"/>
      <w:marLeft w:val="0"/>
      <w:marRight w:val="0"/>
      <w:marTop w:val="0"/>
      <w:marBottom w:val="0"/>
      <w:divBdr>
        <w:top w:val="none" w:sz="0" w:space="0" w:color="auto"/>
        <w:left w:val="none" w:sz="0" w:space="0" w:color="auto"/>
        <w:bottom w:val="none" w:sz="0" w:space="0" w:color="auto"/>
        <w:right w:val="none" w:sz="0" w:space="0" w:color="auto"/>
      </w:divBdr>
      <w:divsChild>
        <w:div w:id="44919029">
          <w:marLeft w:val="0"/>
          <w:marRight w:val="0"/>
          <w:marTop w:val="0"/>
          <w:marBottom w:val="0"/>
          <w:divBdr>
            <w:top w:val="none" w:sz="0" w:space="0" w:color="auto"/>
            <w:left w:val="none" w:sz="0" w:space="0" w:color="auto"/>
            <w:bottom w:val="none" w:sz="0" w:space="0" w:color="auto"/>
            <w:right w:val="none" w:sz="0" w:space="0" w:color="auto"/>
          </w:divBdr>
        </w:div>
        <w:div w:id="128328844">
          <w:marLeft w:val="0"/>
          <w:marRight w:val="0"/>
          <w:marTop w:val="0"/>
          <w:marBottom w:val="0"/>
          <w:divBdr>
            <w:top w:val="none" w:sz="0" w:space="0" w:color="auto"/>
            <w:left w:val="none" w:sz="0" w:space="0" w:color="auto"/>
            <w:bottom w:val="none" w:sz="0" w:space="0" w:color="auto"/>
            <w:right w:val="none" w:sz="0" w:space="0" w:color="auto"/>
          </w:divBdr>
        </w:div>
        <w:div w:id="179130567">
          <w:marLeft w:val="0"/>
          <w:marRight w:val="0"/>
          <w:marTop w:val="0"/>
          <w:marBottom w:val="0"/>
          <w:divBdr>
            <w:top w:val="none" w:sz="0" w:space="0" w:color="auto"/>
            <w:left w:val="none" w:sz="0" w:space="0" w:color="auto"/>
            <w:bottom w:val="none" w:sz="0" w:space="0" w:color="auto"/>
            <w:right w:val="none" w:sz="0" w:space="0" w:color="auto"/>
          </w:divBdr>
        </w:div>
        <w:div w:id="190533927">
          <w:marLeft w:val="0"/>
          <w:marRight w:val="0"/>
          <w:marTop w:val="0"/>
          <w:marBottom w:val="0"/>
          <w:divBdr>
            <w:top w:val="none" w:sz="0" w:space="0" w:color="auto"/>
            <w:left w:val="none" w:sz="0" w:space="0" w:color="auto"/>
            <w:bottom w:val="none" w:sz="0" w:space="0" w:color="auto"/>
            <w:right w:val="none" w:sz="0" w:space="0" w:color="auto"/>
          </w:divBdr>
        </w:div>
        <w:div w:id="305360308">
          <w:marLeft w:val="0"/>
          <w:marRight w:val="0"/>
          <w:marTop w:val="0"/>
          <w:marBottom w:val="0"/>
          <w:divBdr>
            <w:top w:val="none" w:sz="0" w:space="0" w:color="auto"/>
            <w:left w:val="none" w:sz="0" w:space="0" w:color="auto"/>
            <w:bottom w:val="none" w:sz="0" w:space="0" w:color="auto"/>
            <w:right w:val="none" w:sz="0" w:space="0" w:color="auto"/>
          </w:divBdr>
        </w:div>
        <w:div w:id="345062325">
          <w:marLeft w:val="0"/>
          <w:marRight w:val="0"/>
          <w:marTop w:val="0"/>
          <w:marBottom w:val="0"/>
          <w:divBdr>
            <w:top w:val="none" w:sz="0" w:space="0" w:color="auto"/>
            <w:left w:val="none" w:sz="0" w:space="0" w:color="auto"/>
            <w:bottom w:val="none" w:sz="0" w:space="0" w:color="auto"/>
            <w:right w:val="none" w:sz="0" w:space="0" w:color="auto"/>
          </w:divBdr>
        </w:div>
        <w:div w:id="347566573">
          <w:marLeft w:val="0"/>
          <w:marRight w:val="0"/>
          <w:marTop w:val="0"/>
          <w:marBottom w:val="0"/>
          <w:divBdr>
            <w:top w:val="none" w:sz="0" w:space="0" w:color="auto"/>
            <w:left w:val="none" w:sz="0" w:space="0" w:color="auto"/>
            <w:bottom w:val="none" w:sz="0" w:space="0" w:color="auto"/>
            <w:right w:val="none" w:sz="0" w:space="0" w:color="auto"/>
          </w:divBdr>
        </w:div>
        <w:div w:id="445583818">
          <w:marLeft w:val="0"/>
          <w:marRight w:val="0"/>
          <w:marTop w:val="0"/>
          <w:marBottom w:val="0"/>
          <w:divBdr>
            <w:top w:val="none" w:sz="0" w:space="0" w:color="auto"/>
            <w:left w:val="none" w:sz="0" w:space="0" w:color="auto"/>
            <w:bottom w:val="none" w:sz="0" w:space="0" w:color="auto"/>
            <w:right w:val="none" w:sz="0" w:space="0" w:color="auto"/>
          </w:divBdr>
        </w:div>
        <w:div w:id="512036487">
          <w:marLeft w:val="0"/>
          <w:marRight w:val="0"/>
          <w:marTop w:val="0"/>
          <w:marBottom w:val="0"/>
          <w:divBdr>
            <w:top w:val="none" w:sz="0" w:space="0" w:color="auto"/>
            <w:left w:val="none" w:sz="0" w:space="0" w:color="auto"/>
            <w:bottom w:val="none" w:sz="0" w:space="0" w:color="auto"/>
            <w:right w:val="none" w:sz="0" w:space="0" w:color="auto"/>
          </w:divBdr>
        </w:div>
        <w:div w:id="613369982">
          <w:marLeft w:val="0"/>
          <w:marRight w:val="0"/>
          <w:marTop w:val="0"/>
          <w:marBottom w:val="0"/>
          <w:divBdr>
            <w:top w:val="none" w:sz="0" w:space="0" w:color="auto"/>
            <w:left w:val="none" w:sz="0" w:space="0" w:color="auto"/>
            <w:bottom w:val="none" w:sz="0" w:space="0" w:color="auto"/>
            <w:right w:val="none" w:sz="0" w:space="0" w:color="auto"/>
          </w:divBdr>
        </w:div>
        <w:div w:id="700471405">
          <w:marLeft w:val="0"/>
          <w:marRight w:val="0"/>
          <w:marTop w:val="0"/>
          <w:marBottom w:val="0"/>
          <w:divBdr>
            <w:top w:val="none" w:sz="0" w:space="0" w:color="auto"/>
            <w:left w:val="none" w:sz="0" w:space="0" w:color="auto"/>
            <w:bottom w:val="none" w:sz="0" w:space="0" w:color="auto"/>
            <w:right w:val="none" w:sz="0" w:space="0" w:color="auto"/>
          </w:divBdr>
        </w:div>
        <w:div w:id="757292322">
          <w:marLeft w:val="0"/>
          <w:marRight w:val="0"/>
          <w:marTop w:val="0"/>
          <w:marBottom w:val="0"/>
          <w:divBdr>
            <w:top w:val="none" w:sz="0" w:space="0" w:color="auto"/>
            <w:left w:val="none" w:sz="0" w:space="0" w:color="auto"/>
            <w:bottom w:val="none" w:sz="0" w:space="0" w:color="auto"/>
            <w:right w:val="none" w:sz="0" w:space="0" w:color="auto"/>
          </w:divBdr>
        </w:div>
        <w:div w:id="839196332">
          <w:marLeft w:val="0"/>
          <w:marRight w:val="0"/>
          <w:marTop w:val="0"/>
          <w:marBottom w:val="0"/>
          <w:divBdr>
            <w:top w:val="none" w:sz="0" w:space="0" w:color="auto"/>
            <w:left w:val="none" w:sz="0" w:space="0" w:color="auto"/>
            <w:bottom w:val="none" w:sz="0" w:space="0" w:color="auto"/>
            <w:right w:val="none" w:sz="0" w:space="0" w:color="auto"/>
          </w:divBdr>
        </w:div>
        <w:div w:id="850727765">
          <w:marLeft w:val="0"/>
          <w:marRight w:val="0"/>
          <w:marTop w:val="0"/>
          <w:marBottom w:val="0"/>
          <w:divBdr>
            <w:top w:val="none" w:sz="0" w:space="0" w:color="auto"/>
            <w:left w:val="none" w:sz="0" w:space="0" w:color="auto"/>
            <w:bottom w:val="none" w:sz="0" w:space="0" w:color="auto"/>
            <w:right w:val="none" w:sz="0" w:space="0" w:color="auto"/>
          </w:divBdr>
        </w:div>
        <w:div w:id="860976901">
          <w:marLeft w:val="0"/>
          <w:marRight w:val="0"/>
          <w:marTop w:val="0"/>
          <w:marBottom w:val="0"/>
          <w:divBdr>
            <w:top w:val="none" w:sz="0" w:space="0" w:color="auto"/>
            <w:left w:val="none" w:sz="0" w:space="0" w:color="auto"/>
            <w:bottom w:val="none" w:sz="0" w:space="0" w:color="auto"/>
            <w:right w:val="none" w:sz="0" w:space="0" w:color="auto"/>
          </w:divBdr>
        </w:div>
        <w:div w:id="880095235">
          <w:marLeft w:val="0"/>
          <w:marRight w:val="0"/>
          <w:marTop w:val="0"/>
          <w:marBottom w:val="0"/>
          <w:divBdr>
            <w:top w:val="none" w:sz="0" w:space="0" w:color="auto"/>
            <w:left w:val="none" w:sz="0" w:space="0" w:color="auto"/>
            <w:bottom w:val="none" w:sz="0" w:space="0" w:color="auto"/>
            <w:right w:val="none" w:sz="0" w:space="0" w:color="auto"/>
          </w:divBdr>
        </w:div>
        <w:div w:id="1032345059">
          <w:marLeft w:val="0"/>
          <w:marRight w:val="0"/>
          <w:marTop w:val="0"/>
          <w:marBottom w:val="0"/>
          <w:divBdr>
            <w:top w:val="none" w:sz="0" w:space="0" w:color="auto"/>
            <w:left w:val="none" w:sz="0" w:space="0" w:color="auto"/>
            <w:bottom w:val="none" w:sz="0" w:space="0" w:color="auto"/>
            <w:right w:val="none" w:sz="0" w:space="0" w:color="auto"/>
          </w:divBdr>
        </w:div>
        <w:div w:id="1041517737">
          <w:marLeft w:val="0"/>
          <w:marRight w:val="0"/>
          <w:marTop w:val="0"/>
          <w:marBottom w:val="0"/>
          <w:divBdr>
            <w:top w:val="none" w:sz="0" w:space="0" w:color="auto"/>
            <w:left w:val="none" w:sz="0" w:space="0" w:color="auto"/>
            <w:bottom w:val="none" w:sz="0" w:space="0" w:color="auto"/>
            <w:right w:val="none" w:sz="0" w:space="0" w:color="auto"/>
          </w:divBdr>
        </w:div>
        <w:div w:id="1251112735">
          <w:marLeft w:val="0"/>
          <w:marRight w:val="0"/>
          <w:marTop w:val="0"/>
          <w:marBottom w:val="0"/>
          <w:divBdr>
            <w:top w:val="none" w:sz="0" w:space="0" w:color="auto"/>
            <w:left w:val="none" w:sz="0" w:space="0" w:color="auto"/>
            <w:bottom w:val="none" w:sz="0" w:space="0" w:color="auto"/>
            <w:right w:val="none" w:sz="0" w:space="0" w:color="auto"/>
          </w:divBdr>
        </w:div>
        <w:div w:id="1383863442">
          <w:marLeft w:val="0"/>
          <w:marRight w:val="0"/>
          <w:marTop w:val="0"/>
          <w:marBottom w:val="0"/>
          <w:divBdr>
            <w:top w:val="none" w:sz="0" w:space="0" w:color="auto"/>
            <w:left w:val="none" w:sz="0" w:space="0" w:color="auto"/>
            <w:bottom w:val="none" w:sz="0" w:space="0" w:color="auto"/>
            <w:right w:val="none" w:sz="0" w:space="0" w:color="auto"/>
          </w:divBdr>
        </w:div>
        <w:div w:id="1426655893">
          <w:marLeft w:val="0"/>
          <w:marRight w:val="0"/>
          <w:marTop w:val="0"/>
          <w:marBottom w:val="0"/>
          <w:divBdr>
            <w:top w:val="none" w:sz="0" w:space="0" w:color="auto"/>
            <w:left w:val="none" w:sz="0" w:space="0" w:color="auto"/>
            <w:bottom w:val="none" w:sz="0" w:space="0" w:color="auto"/>
            <w:right w:val="none" w:sz="0" w:space="0" w:color="auto"/>
          </w:divBdr>
        </w:div>
        <w:div w:id="1696616698">
          <w:marLeft w:val="0"/>
          <w:marRight w:val="0"/>
          <w:marTop w:val="0"/>
          <w:marBottom w:val="0"/>
          <w:divBdr>
            <w:top w:val="none" w:sz="0" w:space="0" w:color="auto"/>
            <w:left w:val="none" w:sz="0" w:space="0" w:color="auto"/>
            <w:bottom w:val="none" w:sz="0" w:space="0" w:color="auto"/>
            <w:right w:val="none" w:sz="0" w:space="0" w:color="auto"/>
          </w:divBdr>
        </w:div>
        <w:div w:id="1753427408">
          <w:marLeft w:val="0"/>
          <w:marRight w:val="0"/>
          <w:marTop w:val="0"/>
          <w:marBottom w:val="0"/>
          <w:divBdr>
            <w:top w:val="none" w:sz="0" w:space="0" w:color="auto"/>
            <w:left w:val="none" w:sz="0" w:space="0" w:color="auto"/>
            <w:bottom w:val="none" w:sz="0" w:space="0" w:color="auto"/>
            <w:right w:val="none" w:sz="0" w:space="0" w:color="auto"/>
          </w:divBdr>
        </w:div>
        <w:div w:id="1762263087">
          <w:marLeft w:val="0"/>
          <w:marRight w:val="0"/>
          <w:marTop w:val="0"/>
          <w:marBottom w:val="0"/>
          <w:divBdr>
            <w:top w:val="none" w:sz="0" w:space="0" w:color="auto"/>
            <w:left w:val="none" w:sz="0" w:space="0" w:color="auto"/>
            <w:bottom w:val="none" w:sz="0" w:space="0" w:color="auto"/>
            <w:right w:val="none" w:sz="0" w:space="0" w:color="auto"/>
          </w:divBdr>
        </w:div>
        <w:div w:id="1903521613">
          <w:marLeft w:val="0"/>
          <w:marRight w:val="0"/>
          <w:marTop w:val="0"/>
          <w:marBottom w:val="0"/>
          <w:divBdr>
            <w:top w:val="none" w:sz="0" w:space="0" w:color="auto"/>
            <w:left w:val="none" w:sz="0" w:space="0" w:color="auto"/>
            <w:bottom w:val="none" w:sz="0" w:space="0" w:color="auto"/>
            <w:right w:val="none" w:sz="0" w:space="0" w:color="auto"/>
          </w:divBdr>
        </w:div>
        <w:div w:id="1926568683">
          <w:marLeft w:val="0"/>
          <w:marRight w:val="0"/>
          <w:marTop w:val="0"/>
          <w:marBottom w:val="0"/>
          <w:divBdr>
            <w:top w:val="none" w:sz="0" w:space="0" w:color="auto"/>
            <w:left w:val="none" w:sz="0" w:space="0" w:color="auto"/>
            <w:bottom w:val="none" w:sz="0" w:space="0" w:color="auto"/>
            <w:right w:val="none" w:sz="0" w:space="0" w:color="auto"/>
          </w:divBdr>
        </w:div>
        <w:div w:id="1976443805">
          <w:marLeft w:val="0"/>
          <w:marRight w:val="0"/>
          <w:marTop w:val="0"/>
          <w:marBottom w:val="0"/>
          <w:divBdr>
            <w:top w:val="none" w:sz="0" w:space="0" w:color="auto"/>
            <w:left w:val="none" w:sz="0" w:space="0" w:color="auto"/>
            <w:bottom w:val="none" w:sz="0" w:space="0" w:color="auto"/>
            <w:right w:val="none" w:sz="0" w:space="0" w:color="auto"/>
          </w:divBdr>
        </w:div>
        <w:div w:id="2119831862">
          <w:marLeft w:val="0"/>
          <w:marRight w:val="0"/>
          <w:marTop w:val="0"/>
          <w:marBottom w:val="0"/>
          <w:divBdr>
            <w:top w:val="none" w:sz="0" w:space="0" w:color="auto"/>
            <w:left w:val="none" w:sz="0" w:space="0" w:color="auto"/>
            <w:bottom w:val="none" w:sz="0" w:space="0" w:color="auto"/>
            <w:right w:val="none" w:sz="0" w:space="0" w:color="auto"/>
          </w:divBdr>
        </w:div>
      </w:divsChild>
    </w:div>
    <w:div w:id="1191721827">
      <w:bodyDiv w:val="1"/>
      <w:marLeft w:val="0"/>
      <w:marRight w:val="0"/>
      <w:marTop w:val="0"/>
      <w:marBottom w:val="0"/>
      <w:divBdr>
        <w:top w:val="none" w:sz="0" w:space="0" w:color="auto"/>
        <w:left w:val="none" w:sz="0" w:space="0" w:color="auto"/>
        <w:bottom w:val="none" w:sz="0" w:space="0" w:color="auto"/>
        <w:right w:val="none" w:sz="0" w:space="0" w:color="auto"/>
      </w:divBdr>
    </w:div>
    <w:div w:id="1195001954">
      <w:bodyDiv w:val="1"/>
      <w:marLeft w:val="0"/>
      <w:marRight w:val="0"/>
      <w:marTop w:val="0"/>
      <w:marBottom w:val="0"/>
      <w:divBdr>
        <w:top w:val="none" w:sz="0" w:space="0" w:color="auto"/>
        <w:left w:val="none" w:sz="0" w:space="0" w:color="auto"/>
        <w:bottom w:val="none" w:sz="0" w:space="0" w:color="auto"/>
        <w:right w:val="none" w:sz="0" w:space="0" w:color="auto"/>
      </w:divBdr>
    </w:div>
    <w:div w:id="1254628650">
      <w:bodyDiv w:val="1"/>
      <w:marLeft w:val="0"/>
      <w:marRight w:val="0"/>
      <w:marTop w:val="0"/>
      <w:marBottom w:val="0"/>
      <w:divBdr>
        <w:top w:val="none" w:sz="0" w:space="0" w:color="auto"/>
        <w:left w:val="none" w:sz="0" w:space="0" w:color="auto"/>
        <w:bottom w:val="none" w:sz="0" w:space="0" w:color="auto"/>
        <w:right w:val="none" w:sz="0" w:space="0" w:color="auto"/>
      </w:divBdr>
    </w:div>
    <w:div w:id="1283877991">
      <w:bodyDiv w:val="1"/>
      <w:marLeft w:val="0"/>
      <w:marRight w:val="0"/>
      <w:marTop w:val="0"/>
      <w:marBottom w:val="0"/>
      <w:divBdr>
        <w:top w:val="none" w:sz="0" w:space="0" w:color="auto"/>
        <w:left w:val="none" w:sz="0" w:space="0" w:color="auto"/>
        <w:bottom w:val="none" w:sz="0" w:space="0" w:color="auto"/>
        <w:right w:val="none" w:sz="0" w:space="0" w:color="auto"/>
      </w:divBdr>
    </w:div>
    <w:div w:id="1335496293">
      <w:bodyDiv w:val="1"/>
      <w:marLeft w:val="0"/>
      <w:marRight w:val="0"/>
      <w:marTop w:val="0"/>
      <w:marBottom w:val="0"/>
      <w:divBdr>
        <w:top w:val="none" w:sz="0" w:space="0" w:color="auto"/>
        <w:left w:val="none" w:sz="0" w:space="0" w:color="auto"/>
        <w:bottom w:val="none" w:sz="0" w:space="0" w:color="auto"/>
        <w:right w:val="none" w:sz="0" w:space="0" w:color="auto"/>
      </w:divBdr>
      <w:divsChild>
        <w:div w:id="110708045">
          <w:marLeft w:val="0"/>
          <w:marRight w:val="0"/>
          <w:marTop w:val="0"/>
          <w:marBottom w:val="0"/>
          <w:divBdr>
            <w:top w:val="none" w:sz="0" w:space="0" w:color="auto"/>
            <w:left w:val="none" w:sz="0" w:space="0" w:color="auto"/>
            <w:bottom w:val="none" w:sz="0" w:space="0" w:color="auto"/>
            <w:right w:val="none" w:sz="0" w:space="0" w:color="auto"/>
          </w:divBdr>
        </w:div>
        <w:div w:id="198518170">
          <w:marLeft w:val="0"/>
          <w:marRight w:val="0"/>
          <w:marTop w:val="0"/>
          <w:marBottom w:val="0"/>
          <w:divBdr>
            <w:top w:val="none" w:sz="0" w:space="0" w:color="auto"/>
            <w:left w:val="none" w:sz="0" w:space="0" w:color="auto"/>
            <w:bottom w:val="none" w:sz="0" w:space="0" w:color="auto"/>
            <w:right w:val="none" w:sz="0" w:space="0" w:color="auto"/>
          </w:divBdr>
        </w:div>
        <w:div w:id="238101679">
          <w:marLeft w:val="0"/>
          <w:marRight w:val="0"/>
          <w:marTop w:val="0"/>
          <w:marBottom w:val="0"/>
          <w:divBdr>
            <w:top w:val="none" w:sz="0" w:space="0" w:color="auto"/>
            <w:left w:val="none" w:sz="0" w:space="0" w:color="auto"/>
            <w:bottom w:val="none" w:sz="0" w:space="0" w:color="auto"/>
            <w:right w:val="none" w:sz="0" w:space="0" w:color="auto"/>
          </w:divBdr>
        </w:div>
        <w:div w:id="247273825">
          <w:marLeft w:val="0"/>
          <w:marRight w:val="0"/>
          <w:marTop w:val="0"/>
          <w:marBottom w:val="0"/>
          <w:divBdr>
            <w:top w:val="none" w:sz="0" w:space="0" w:color="auto"/>
            <w:left w:val="none" w:sz="0" w:space="0" w:color="auto"/>
            <w:bottom w:val="none" w:sz="0" w:space="0" w:color="auto"/>
            <w:right w:val="none" w:sz="0" w:space="0" w:color="auto"/>
          </w:divBdr>
        </w:div>
        <w:div w:id="267280573">
          <w:marLeft w:val="0"/>
          <w:marRight w:val="0"/>
          <w:marTop w:val="0"/>
          <w:marBottom w:val="0"/>
          <w:divBdr>
            <w:top w:val="none" w:sz="0" w:space="0" w:color="auto"/>
            <w:left w:val="none" w:sz="0" w:space="0" w:color="auto"/>
            <w:bottom w:val="none" w:sz="0" w:space="0" w:color="auto"/>
            <w:right w:val="none" w:sz="0" w:space="0" w:color="auto"/>
          </w:divBdr>
        </w:div>
        <w:div w:id="393284944">
          <w:marLeft w:val="0"/>
          <w:marRight w:val="0"/>
          <w:marTop w:val="0"/>
          <w:marBottom w:val="0"/>
          <w:divBdr>
            <w:top w:val="none" w:sz="0" w:space="0" w:color="auto"/>
            <w:left w:val="none" w:sz="0" w:space="0" w:color="auto"/>
            <w:bottom w:val="none" w:sz="0" w:space="0" w:color="auto"/>
            <w:right w:val="none" w:sz="0" w:space="0" w:color="auto"/>
          </w:divBdr>
        </w:div>
        <w:div w:id="433281527">
          <w:marLeft w:val="0"/>
          <w:marRight w:val="0"/>
          <w:marTop w:val="0"/>
          <w:marBottom w:val="0"/>
          <w:divBdr>
            <w:top w:val="none" w:sz="0" w:space="0" w:color="auto"/>
            <w:left w:val="none" w:sz="0" w:space="0" w:color="auto"/>
            <w:bottom w:val="none" w:sz="0" w:space="0" w:color="auto"/>
            <w:right w:val="none" w:sz="0" w:space="0" w:color="auto"/>
          </w:divBdr>
        </w:div>
        <w:div w:id="441002153">
          <w:marLeft w:val="0"/>
          <w:marRight w:val="0"/>
          <w:marTop w:val="0"/>
          <w:marBottom w:val="0"/>
          <w:divBdr>
            <w:top w:val="none" w:sz="0" w:space="0" w:color="auto"/>
            <w:left w:val="none" w:sz="0" w:space="0" w:color="auto"/>
            <w:bottom w:val="none" w:sz="0" w:space="0" w:color="auto"/>
            <w:right w:val="none" w:sz="0" w:space="0" w:color="auto"/>
          </w:divBdr>
        </w:div>
        <w:div w:id="507408104">
          <w:marLeft w:val="0"/>
          <w:marRight w:val="0"/>
          <w:marTop w:val="0"/>
          <w:marBottom w:val="0"/>
          <w:divBdr>
            <w:top w:val="none" w:sz="0" w:space="0" w:color="auto"/>
            <w:left w:val="none" w:sz="0" w:space="0" w:color="auto"/>
            <w:bottom w:val="none" w:sz="0" w:space="0" w:color="auto"/>
            <w:right w:val="none" w:sz="0" w:space="0" w:color="auto"/>
          </w:divBdr>
        </w:div>
        <w:div w:id="527833735">
          <w:marLeft w:val="0"/>
          <w:marRight w:val="0"/>
          <w:marTop w:val="0"/>
          <w:marBottom w:val="0"/>
          <w:divBdr>
            <w:top w:val="none" w:sz="0" w:space="0" w:color="auto"/>
            <w:left w:val="none" w:sz="0" w:space="0" w:color="auto"/>
            <w:bottom w:val="none" w:sz="0" w:space="0" w:color="auto"/>
            <w:right w:val="none" w:sz="0" w:space="0" w:color="auto"/>
          </w:divBdr>
        </w:div>
        <w:div w:id="676688251">
          <w:marLeft w:val="0"/>
          <w:marRight w:val="0"/>
          <w:marTop w:val="0"/>
          <w:marBottom w:val="0"/>
          <w:divBdr>
            <w:top w:val="none" w:sz="0" w:space="0" w:color="auto"/>
            <w:left w:val="none" w:sz="0" w:space="0" w:color="auto"/>
            <w:bottom w:val="none" w:sz="0" w:space="0" w:color="auto"/>
            <w:right w:val="none" w:sz="0" w:space="0" w:color="auto"/>
          </w:divBdr>
        </w:div>
        <w:div w:id="776171803">
          <w:marLeft w:val="0"/>
          <w:marRight w:val="0"/>
          <w:marTop w:val="0"/>
          <w:marBottom w:val="0"/>
          <w:divBdr>
            <w:top w:val="none" w:sz="0" w:space="0" w:color="auto"/>
            <w:left w:val="none" w:sz="0" w:space="0" w:color="auto"/>
            <w:bottom w:val="none" w:sz="0" w:space="0" w:color="auto"/>
            <w:right w:val="none" w:sz="0" w:space="0" w:color="auto"/>
          </w:divBdr>
        </w:div>
        <w:div w:id="779568393">
          <w:marLeft w:val="0"/>
          <w:marRight w:val="0"/>
          <w:marTop w:val="0"/>
          <w:marBottom w:val="0"/>
          <w:divBdr>
            <w:top w:val="none" w:sz="0" w:space="0" w:color="auto"/>
            <w:left w:val="none" w:sz="0" w:space="0" w:color="auto"/>
            <w:bottom w:val="none" w:sz="0" w:space="0" w:color="auto"/>
            <w:right w:val="none" w:sz="0" w:space="0" w:color="auto"/>
          </w:divBdr>
        </w:div>
        <w:div w:id="841969762">
          <w:marLeft w:val="0"/>
          <w:marRight w:val="0"/>
          <w:marTop w:val="0"/>
          <w:marBottom w:val="0"/>
          <w:divBdr>
            <w:top w:val="none" w:sz="0" w:space="0" w:color="auto"/>
            <w:left w:val="none" w:sz="0" w:space="0" w:color="auto"/>
            <w:bottom w:val="none" w:sz="0" w:space="0" w:color="auto"/>
            <w:right w:val="none" w:sz="0" w:space="0" w:color="auto"/>
          </w:divBdr>
        </w:div>
        <w:div w:id="879706910">
          <w:marLeft w:val="0"/>
          <w:marRight w:val="0"/>
          <w:marTop w:val="0"/>
          <w:marBottom w:val="0"/>
          <w:divBdr>
            <w:top w:val="none" w:sz="0" w:space="0" w:color="auto"/>
            <w:left w:val="none" w:sz="0" w:space="0" w:color="auto"/>
            <w:bottom w:val="none" w:sz="0" w:space="0" w:color="auto"/>
            <w:right w:val="none" w:sz="0" w:space="0" w:color="auto"/>
          </w:divBdr>
        </w:div>
        <w:div w:id="908614163">
          <w:marLeft w:val="0"/>
          <w:marRight w:val="0"/>
          <w:marTop w:val="0"/>
          <w:marBottom w:val="0"/>
          <w:divBdr>
            <w:top w:val="none" w:sz="0" w:space="0" w:color="auto"/>
            <w:left w:val="none" w:sz="0" w:space="0" w:color="auto"/>
            <w:bottom w:val="none" w:sz="0" w:space="0" w:color="auto"/>
            <w:right w:val="none" w:sz="0" w:space="0" w:color="auto"/>
          </w:divBdr>
        </w:div>
        <w:div w:id="952054175">
          <w:marLeft w:val="0"/>
          <w:marRight w:val="0"/>
          <w:marTop w:val="0"/>
          <w:marBottom w:val="0"/>
          <w:divBdr>
            <w:top w:val="none" w:sz="0" w:space="0" w:color="auto"/>
            <w:left w:val="none" w:sz="0" w:space="0" w:color="auto"/>
            <w:bottom w:val="none" w:sz="0" w:space="0" w:color="auto"/>
            <w:right w:val="none" w:sz="0" w:space="0" w:color="auto"/>
          </w:divBdr>
        </w:div>
        <w:div w:id="1087845275">
          <w:marLeft w:val="0"/>
          <w:marRight w:val="0"/>
          <w:marTop w:val="0"/>
          <w:marBottom w:val="0"/>
          <w:divBdr>
            <w:top w:val="none" w:sz="0" w:space="0" w:color="auto"/>
            <w:left w:val="none" w:sz="0" w:space="0" w:color="auto"/>
            <w:bottom w:val="none" w:sz="0" w:space="0" w:color="auto"/>
            <w:right w:val="none" w:sz="0" w:space="0" w:color="auto"/>
          </w:divBdr>
        </w:div>
        <w:div w:id="1359352138">
          <w:marLeft w:val="0"/>
          <w:marRight w:val="0"/>
          <w:marTop w:val="0"/>
          <w:marBottom w:val="0"/>
          <w:divBdr>
            <w:top w:val="none" w:sz="0" w:space="0" w:color="auto"/>
            <w:left w:val="none" w:sz="0" w:space="0" w:color="auto"/>
            <w:bottom w:val="none" w:sz="0" w:space="0" w:color="auto"/>
            <w:right w:val="none" w:sz="0" w:space="0" w:color="auto"/>
          </w:divBdr>
        </w:div>
        <w:div w:id="1524899528">
          <w:marLeft w:val="0"/>
          <w:marRight w:val="0"/>
          <w:marTop w:val="0"/>
          <w:marBottom w:val="0"/>
          <w:divBdr>
            <w:top w:val="none" w:sz="0" w:space="0" w:color="auto"/>
            <w:left w:val="none" w:sz="0" w:space="0" w:color="auto"/>
            <w:bottom w:val="none" w:sz="0" w:space="0" w:color="auto"/>
            <w:right w:val="none" w:sz="0" w:space="0" w:color="auto"/>
          </w:divBdr>
        </w:div>
        <w:div w:id="1600865510">
          <w:marLeft w:val="0"/>
          <w:marRight w:val="0"/>
          <w:marTop w:val="0"/>
          <w:marBottom w:val="0"/>
          <w:divBdr>
            <w:top w:val="none" w:sz="0" w:space="0" w:color="auto"/>
            <w:left w:val="none" w:sz="0" w:space="0" w:color="auto"/>
            <w:bottom w:val="none" w:sz="0" w:space="0" w:color="auto"/>
            <w:right w:val="none" w:sz="0" w:space="0" w:color="auto"/>
          </w:divBdr>
        </w:div>
        <w:div w:id="1618944208">
          <w:marLeft w:val="0"/>
          <w:marRight w:val="0"/>
          <w:marTop w:val="0"/>
          <w:marBottom w:val="0"/>
          <w:divBdr>
            <w:top w:val="none" w:sz="0" w:space="0" w:color="auto"/>
            <w:left w:val="none" w:sz="0" w:space="0" w:color="auto"/>
            <w:bottom w:val="none" w:sz="0" w:space="0" w:color="auto"/>
            <w:right w:val="none" w:sz="0" w:space="0" w:color="auto"/>
          </w:divBdr>
        </w:div>
        <w:div w:id="1654214798">
          <w:marLeft w:val="0"/>
          <w:marRight w:val="0"/>
          <w:marTop w:val="0"/>
          <w:marBottom w:val="0"/>
          <w:divBdr>
            <w:top w:val="none" w:sz="0" w:space="0" w:color="auto"/>
            <w:left w:val="none" w:sz="0" w:space="0" w:color="auto"/>
            <w:bottom w:val="none" w:sz="0" w:space="0" w:color="auto"/>
            <w:right w:val="none" w:sz="0" w:space="0" w:color="auto"/>
          </w:divBdr>
        </w:div>
        <w:div w:id="1701931660">
          <w:marLeft w:val="0"/>
          <w:marRight w:val="0"/>
          <w:marTop w:val="0"/>
          <w:marBottom w:val="0"/>
          <w:divBdr>
            <w:top w:val="none" w:sz="0" w:space="0" w:color="auto"/>
            <w:left w:val="none" w:sz="0" w:space="0" w:color="auto"/>
            <w:bottom w:val="none" w:sz="0" w:space="0" w:color="auto"/>
            <w:right w:val="none" w:sz="0" w:space="0" w:color="auto"/>
          </w:divBdr>
        </w:div>
        <w:div w:id="1711761014">
          <w:marLeft w:val="0"/>
          <w:marRight w:val="0"/>
          <w:marTop w:val="0"/>
          <w:marBottom w:val="0"/>
          <w:divBdr>
            <w:top w:val="none" w:sz="0" w:space="0" w:color="auto"/>
            <w:left w:val="none" w:sz="0" w:space="0" w:color="auto"/>
            <w:bottom w:val="none" w:sz="0" w:space="0" w:color="auto"/>
            <w:right w:val="none" w:sz="0" w:space="0" w:color="auto"/>
          </w:divBdr>
        </w:div>
        <w:div w:id="1951860813">
          <w:marLeft w:val="0"/>
          <w:marRight w:val="0"/>
          <w:marTop w:val="0"/>
          <w:marBottom w:val="0"/>
          <w:divBdr>
            <w:top w:val="none" w:sz="0" w:space="0" w:color="auto"/>
            <w:left w:val="none" w:sz="0" w:space="0" w:color="auto"/>
            <w:bottom w:val="none" w:sz="0" w:space="0" w:color="auto"/>
            <w:right w:val="none" w:sz="0" w:space="0" w:color="auto"/>
          </w:divBdr>
        </w:div>
        <w:div w:id="2131707869">
          <w:marLeft w:val="0"/>
          <w:marRight w:val="0"/>
          <w:marTop w:val="0"/>
          <w:marBottom w:val="0"/>
          <w:divBdr>
            <w:top w:val="none" w:sz="0" w:space="0" w:color="auto"/>
            <w:left w:val="none" w:sz="0" w:space="0" w:color="auto"/>
            <w:bottom w:val="none" w:sz="0" w:space="0" w:color="auto"/>
            <w:right w:val="none" w:sz="0" w:space="0" w:color="auto"/>
          </w:divBdr>
        </w:div>
        <w:div w:id="2143495319">
          <w:marLeft w:val="0"/>
          <w:marRight w:val="0"/>
          <w:marTop w:val="0"/>
          <w:marBottom w:val="0"/>
          <w:divBdr>
            <w:top w:val="none" w:sz="0" w:space="0" w:color="auto"/>
            <w:left w:val="none" w:sz="0" w:space="0" w:color="auto"/>
            <w:bottom w:val="none" w:sz="0" w:space="0" w:color="auto"/>
            <w:right w:val="none" w:sz="0" w:space="0" w:color="auto"/>
          </w:divBdr>
        </w:div>
      </w:divsChild>
    </w:div>
    <w:div w:id="1487280693">
      <w:bodyDiv w:val="1"/>
      <w:marLeft w:val="0"/>
      <w:marRight w:val="0"/>
      <w:marTop w:val="0"/>
      <w:marBottom w:val="0"/>
      <w:divBdr>
        <w:top w:val="none" w:sz="0" w:space="0" w:color="auto"/>
        <w:left w:val="none" w:sz="0" w:space="0" w:color="auto"/>
        <w:bottom w:val="none" w:sz="0" w:space="0" w:color="auto"/>
        <w:right w:val="none" w:sz="0" w:space="0" w:color="auto"/>
      </w:divBdr>
    </w:div>
    <w:div w:id="1492405867">
      <w:bodyDiv w:val="1"/>
      <w:marLeft w:val="0"/>
      <w:marRight w:val="0"/>
      <w:marTop w:val="0"/>
      <w:marBottom w:val="0"/>
      <w:divBdr>
        <w:top w:val="none" w:sz="0" w:space="0" w:color="auto"/>
        <w:left w:val="none" w:sz="0" w:space="0" w:color="auto"/>
        <w:bottom w:val="none" w:sz="0" w:space="0" w:color="auto"/>
        <w:right w:val="none" w:sz="0" w:space="0" w:color="auto"/>
      </w:divBdr>
    </w:div>
    <w:div w:id="1497382069">
      <w:bodyDiv w:val="1"/>
      <w:marLeft w:val="0"/>
      <w:marRight w:val="0"/>
      <w:marTop w:val="0"/>
      <w:marBottom w:val="0"/>
      <w:divBdr>
        <w:top w:val="none" w:sz="0" w:space="0" w:color="auto"/>
        <w:left w:val="none" w:sz="0" w:space="0" w:color="auto"/>
        <w:bottom w:val="none" w:sz="0" w:space="0" w:color="auto"/>
        <w:right w:val="none" w:sz="0" w:space="0" w:color="auto"/>
      </w:divBdr>
    </w:div>
    <w:div w:id="1502089326">
      <w:bodyDiv w:val="1"/>
      <w:marLeft w:val="0"/>
      <w:marRight w:val="0"/>
      <w:marTop w:val="0"/>
      <w:marBottom w:val="0"/>
      <w:divBdr>
        <w:top w:val="none" w:sz="0" w:space="0" w:color="auto"/>
        <w:left w:val="none" w:sz="0" w:space="0" w:color="auto"/>
        <w:bottom w:val="none" w:sz="0" w:space="0" w:color="auto"/>
        <w:right w:val="none" w:sz="0" w:space="0" w:color="auto"/>
      </w:divBdr>
    </w:div>
    <w:div w:id="1505629536">
      <w:bodyDiv w:val="1"/>
      <w:marLeft w:val="0"/>
      <w:marRight w:val="0"/>
      <w:marTop w:val="0"/>
      <w:marBottom w:val="0"/>
      <w:divBdr>
        <w:top w:val="none" w:sz="0" w:space="0" w:color="auto"/>
        <w:left w:val="none" w:sz="0" w:space="0" w:color="auto"/>
        <w:bottom w:val="none" w:sz="0" w:space="0" w:color="auto"/>
        <w:right w:val="none" w:sz="0" w:space="0" w:color="auto"/>
      </w:divBdr>
    </w:div>
    <w:div w:id="1600799195">
      <w:bodyDiv w:val="1"/>
      <w:marLeft w:val="0"/>
      <w:marRight w:val="0"/>
      <w:marTop w:val="0"/>
      <w:marBottom w:val="0"/>
      <w:divBdr>
        <w:top w:val="none" w:sz="0" w:space="0" w:color="auto"/>
        <w:left w:val="none" w:sz="0" w:space="0" w:color="auto"/>
        <w:bottom w:val="none" w:sz="0" w:space="0" w:color="auto"/>
        <w:right w:val="none" w:sz="0" w:space="0" w:color="auto"/>
      </w:divBdr>
    </w:div>
    <w:div w:id="1619949145">
      <w:bodyDiv w:val="1"/>
      <w:marLeft w:val="0"/>
      <w:marRight w:val="0"/>
      <w:marTop w:val="0"/>
      <w:marBottom w:val="0"/>
      <w:divBdr>
        <w:top w:val="none" w:sz="0" w:space="0" w:color="auto"/>
        <w:left w:val="none" w:sz="0" w:space="0" w:color="auto"/>
        <w:bottom w:val="none" w:sz="0" w:space="0" w:color="auto"/>
        <w:right w:val="none" w:sz="0" w:space="0" w:color="auto"/>
      </w:divBdr>
    </w:div>
    <w:div w:id="1708991535">
      <w:bodyDiv w:val="1"/>
      <w:marLeft w:val="0"/>
      <w:marRight w:val="0"/>
      <w:marTop w:val="0"/>
      <w:marBottom w:val="0"/>
      <w:divBdr>
        <w:top w:val="none" w:sz="0" w:space="0" w:color="auto"/>
        <w:left w:val="none" w:sz="0" w:space="0" w:color="auto"/>
        <w:bottom w:val="none" w:sz="0" w:space="0" w:color="auto"/>
        <w:right w:val="none" w:sz="0" w:space="0" w:color="auto"/>
      </w:divBdr>
    </w:div>
    <w:div w:id="1724791983">
      <w:bodyDiv w:val="1"/>
      <w:marLeft w:val="0"/>
      <w:marRight w:val="0"/>
      <w:marTop w:val="0"/>
      <w:marBottom w:val="0"/>
      <w:divBdr>
        <w:top w:val="none" w:sz="0" w:space="0" w:color="auto"/>
        <w:left w:val="none" w:sz="0" w:space="0" w:color="auto"/>
        <w:bottom w:val="none" w:sz="0" w:space="0" w:color="auto"/>
        <w:right w:val="none" w:sz="0" w:space="0" w:color="auto"/>
      </w:divBdr>
    </w:div>
    <w:div w:id="1724987721">
      <w:bodyDiv w:val="1"/>
      <w:marLeft w:val="0"/>
      <w:marRight w:val="0"/>
      <w:marTop w:val="0"/>
      <w:marBottom w:val="0"/>
      <w:divBdr>
        <w:top w:val="none" w:sz="0" w:space="0" w:color="auto"/>
        <w:left w:val="none" w:sz="0" w:space="0" w:color="auto"/>
        <w:bottom w:val="none" w:sz="0" w:space="0" w:color="auto"/>
        <w:right w:val="none" w:sz="0" w:space="0" w:color="auto"/>
      </w:divBdr>
    </w:div>
    <w:div w:id="1729181565">
      <w:bodyDiv w:val="1"/>
      <w:marLeft w:val="0"/>
      <w:marRight w:val="0"/>
      <w:marTop w:val="0"/>
      <w:marBottom w:val="0"/>
      <w:divBdr>
        <w:top w:val="none" w:sz="0" w:space="0" w:color="auto"/>
        <w:left w:val="none" w:sz="0" w:space="0" w:color="auto"/>
        <w:bottom w:val="none" w:sz="0" w:space="0" w:color="auto"/>
        <w:right w:val="none" w:sz="0" w:space="0" w:color="auto"/>
      </w:divBdr>
      <w:divsChild>
        <w:div w:id="68507900">
          <w:marLeft w:val="0"/>
          <w:marRight w:val="0"/>
          <w:marTop w:val="0"/>
          <w:marBottom w:val="0"/>
          <w:divBdr>
            <w:top w:val="none" w:sz="0" w:space="0" w:color="auto"/>
            <w:left w:val="none" w:sz="0" w:space="0" w:color="auto"/>
            <w:bottom w:val="none" w:sz="0" w:space="0" w:color="auto"/>
            <w:right w:val="none" w:sz="0" w:space="0" w:color="auto"/>
          </w:divBdr>
        </w:div>
        <w:div w:id="422339127">
          <w:marLeft w:val="0"/>
          <w:marRight w:val="0"/>
          <w:marTop w:val="0"/>
          <w:marBottom w:val="0"/>
          <w:divBdr>
            <w:top w:val="none" w:sz="0" w:space="0" w:color="auto"/>
            <w:left w:val="none" w:sz="0" w:space="0" w:color="auto"/>
            <w:bottom w:val="none" w:sz="0" w:space="0" w:color="auto"/>
            <w:right w:val="none" w:sz="0" w:space="0" w:color="auto"/>
          </w:divBdr>
        </w:div>
        <w:div w:id="470444237">
          <w:marLeft w:val="0"/>
          <w:marRight w:val="0"/>
          <w:marTop w:val="0"/>
          <w:marBottom w:val="0"/>
          <w:divBdr>
            <w:top w:val="none" w:sz="0" w:space="0" w:color="auto"/>
            <w:left w:val="none" w:sz="0" w:space="0" w:color="auto"/>
            <w:bottom w:val="none" w:sz="0" w:space="0" w:color="auto"/>
            <w:right w:val="none" w:sz="0" w:space="0" w:color="auto"/>
          </w:divBdr>
        </w:div>
        <w:div w:id="735474044">
          <w:marLeft w:val="0"/>
          <w:marRight w:val="0"/>
          <w:marTop w:val="0"/>
          <w:marBottom w:val="0"/>
          <w:divBdr>
            <w:top w:val="none" w:sz="0" w:space="0" w:color="auto"/>
            <w:left w:val="none" w:sz="0" w:space="0" w:color="auto"/>
            <w:bottom w:val="none" w:sz="0" w:space="0" w:color="auto"/>
            <w:right w:val="none" w:sz="0" w:space="0" w:color="auto"/>
          </w:divBdr>
        </w:div>
        <w:div w:id="1133406067">
          <w:marLeft w:val="0"/>
          <w:marRight w:val="0"/>
          <w:marTop w:val="0"/>
          <w:marBottom w:val="0"/>
          <w:divBdr>
            <w:top w:val="none" w:sz="0" w:space="0" w:color="auto"/>
            <w:left w:val="none" w:sz="0" w:space="0" w:color="auto"/>
            <w:bottom w:val="none" w:sz="0" w:space="0" w:color="auto"/>
            <w:right w:val="none" w:sz="0" w:space="0" w:color="auto"/>
          </w:divBdr>
        </w:div>
        <w:div w:id="1317536100">
          <w:marLeft w:val="0"/>
          <w:marRight w:val="0"/>
          <w:marTop w:val="0"/>
          <w:marBottom w:val="0"/>
          <w:divBdr>
            <w:top w:val="none" w:sz="0" w:space="0" w:color="auto"/>
            <w:left w:val="none" w:sz="0" w:space="0" w:color="auto"/>
            <w:bottom w:val="none" w:sz="0" w:space="0" w:color="auto"/>
            <w:right w:val="none" w:sz="0" w:space="0" w:color="auto"/>
          </w:divBdr>
        </w:div>
        <w:div w:id="2060738760">
          <w:marLeft w:val="0"/>
          <w:marRight w:val="0"/>
          <w:marTop w:val="0"/>
          <w:marBottom w:val="0"/>
          <w:divBdr>
            <w:top w:val="none" w:sz="0" w:space="0" w:color="auto"/>
            <w:left w:val="none" w:sz="0" w:space="0" w:color="auto"/>
            <w:bottom w:val="none" w:sz="0" w:space="0" w:color="auto"/>
            <w:right w:val="none" w:sz="0" w:space="0" w:color="auto"/>
          </w:divBdr>
        </w:div>
      </w:divsChild>
    </w:div>
    <w:div w:id="1750224147">
      <w:bodyDiv w:val="1"/>
      <w:marLeft w:val="0"/>
      <w:marRight w:val="0"/>
      <w:marTop w:val="0"/>
      <w:marBottom w:val="0"/>
      <w:divBdr>
        <w:top w:val="none" w:sz="0" w:space="0" w:color="auto"/>
        <w:left w:val="none" w:sz="0" w:space="0" w:color="auto"/>
        <w:bottom w:val="none" w:sz="0" w:space="0" w:color="auto"/>
        <w:right w:val="none" w:sz="0" w:space="0" w:color="auto"/>
      </w:divBdr>
    </w:div>
    <w:div w:id="1757287428">
      <w:bodyDiv w:val="1"/>
      <w:marLeft w:val="0"/>
      <w:marRight w:val="0"/>
      <w:marTop w:val="0"/>
      <w:marBottom w:val="0"/>
      <w:divBdr>
        <w:top w:val="none" w:sz="0" w:space="0" w:color="auto"/>
        <w:left w:val="none" w:sz="0" w:space="0" w:color="auto"/>
        <w:bottom w:val="none" w:sz="0" w:space="0" w:color="auto"/>
        <w:right w:val="none" w:sz="0" w:space="0" w:color="auto"/>
      </w:divBdr>
    </w:div>
    <w:div w:id="1796370957">
      <w:bodyDiv w:val="1"/>
      <w:marLeft w:val="0"/>
      <w:marRight w:val="0"/>
      <w:marTop w:val="0"/>
      <w:marBottom w:val="0"/>
      <w:divBdr>
        <w:top w:val="none" w:sz="0" w:space="0" w:color="auto"/>
        <w:left w:val="none" w:sz="0" w:space="0" w:color="auto"/>
        <w:bottom w:val="none" w:sz="0" w:space="0" w:color="auto"/>
        <w:right w:val="none" w:sz="0" w:space="0" w:color="auto"/>
      </w:divBdr>
    </w:div>
    <w:div w:id="1814906336">
      <w:bodyDiv w:val="1"/>
      <w:marLeft w:val="0"/>
      <w:marRight w:val="0"/>
      <w:marTop w:val="0"/>
      <w:marBottom w:val="0"/>
      <w:divBdr>
        <w:top w:val="none" w:sz="0" w:space="0" w:color="auto"/>
        <w:left w:val="none" w:sz="0" w:space="0" w:color="auto"/>
        <w:bottom w:val="none" w:sz="0" w:space="0" w:color="auto"/>
        <w:right w:val="none" w:sz="0" w:space="0" w:color="auto"/>
      </w:divBdr>
      <w:divsChild>
        <w:div w:id="1945385744">
          <w:marLeft w:val="0"/>
          <w:marRight w:val="0"/>
          <w:marTop w:val="0"/>
          <w:marBottom w:val="0"/>
          <w:divBdr>
            <w:top w:val="none" w:sz="0" w:space="0" w:color="auto"/>
            <w:left w:val="none" w:sz="0" w:space="0" w:color="auto"/>
            <w:bottom w:val="none" w:sz="0" w:space="0" w:color="auto"/>
            <w:right w:val="none" w:sz="0" w:space="0" w:color="auto"/>
          </w:divBdr>
        </w:div>
      </w:divsChild>
    </w:div>
    <w:div w:id="1888561486">
      <w:bodyDiv w:val="1"/>
      <w:marLeft w:val="0"/>
      <w:marRight w:val="0"/>
      <w:marTop w:val="0"/>
      <w:marBottom w:val="0"/>
      <w:divBdr>
        <w:top w:val="none" w:sz="0" w:space="0" w:color="auto"/>
        <w:left w:val="none" w:sz="0" w:space="0" w:color="auto"/>
        <w:bottom w:val="none" w:sz="0" w:space="0" w:color="auto"/>
        <w:right w:val="none" w:sz="0" w:space="0" w:color="auto"/>
      </w:divBdr>
      <w:divsChild>
        <w:div w:id="363868009">
          <w:marLeft w:val="0"/>
          <w:marRight w:val="0"/>
          <w:marTop w:val="0"/>
          <w:marBottom w:val="0"/>
          <w:divBdr>
            <w:top w:val="none" w:sz="0" w:space="0" w:color="auto"/>
            <w:left w:val="none" w:sz="0" w:space="0" w:color="auto"/>
            <w:bottom w:val="none" w:sz="0" w:space="0" w:color="auto"/>
            <w:right w:val="none" w:sz="0" w:space="0" w:color="auto"/>
          </w:divBdr>
        </w:div>
      </w:divsChild>
    </w:div>
    <w:div w:id="1905800322">
      <w:bodyDiv w:val="1"/>
      <w:marLeft w:val="0"/>
      <w:marRight w:val="0"/>
      <w:marTop w:val="0"/>
      <w:marBottom w:val="0"/>
      <w:divBdr>
        <w:top w:val="none" w:sz="0" w:space="0" w:color="auto"/>
        <w:left w:val="none" w:sz="0" w:space="0" w:color="auto"/>
        <w:bottom w:val="none" w:sz="0" w:space="0" w:color="auto"/>
        <w:right w:val="none" w:sz="0" w:space="0" w:color="auto"/>
      </w:divBdr>
    </w:div>
    <w:div w:id="1943804140">
      <w:bodyDiv w:val="1"/>
      <w:marLeft w:val="0"/>
      <w:marRight w:val="0"/>
      <w:marTop w:val="0"/>
      <w:marBottom w:val="0"/>
      <w:divBdr>
        <w:top w:val="none" w:sz="0" w:space="0" w:color="auto"/>
        <w:left w:val="none" w:sz="0" w:space="0" w:color="auto"/>
        <w:bottom w:val="none" w:sz="0" w:space="0" w:color="auto"/>
        <w:right w:val="none" w:sz="0" w:space="0" w:color="auto"/>
      </w:divBdr>
    </w:div>
    <w:div w:id="2046102313">
      <w:bodyDiv w:val="1"/>
      <w:marLeft w:val="0"/>
      <w:marRight w:val="0"/>
      <w:marTop w:val="0"/>
      <w:marBottom w:val="0"/>
      <w:divBdr>
        <w:top w:val="none" w:sz="0" w:space="0" w:color="auto"/>
        <w:left w:val="none" w:sz="0" w:space="0" w:color="auto"/>
        <w:bottom w:val="none" w:sz="0" w:space="0" w:color="auto"/>
        <w:right w:val="none" w:sz="0" w:space="0" w:color="auto"/>
      </w:divBdr>
    </w:div>
    <w:div w:id="2048678801">
      <w:bodyDiv w:val="1"/>
      <w:marLeft w:val="0"/>
      <w:marRight w:val="0"/>
      <w:marTop w:val="0"/>
      <w:marBottom w:val="0"/>
      <w:divBdr>
        <w:top w:val="none" w:sz="0" w:space="0" w:color="auto"/>
        <w:left w:val="none" w:sz="0" w:space="0" w:color="auto"/>
        <w:bottom w:val="none" w:sz="0" w:space="0" w:color="auto"/>
        <w:right w:val="none" w:sz="0" w:space="0" w:color="auto"/>
      </w:divBdr>
      <w:divsChild>
        <w:div w:id="60520970">
          <w:marLeft w:val="0"/>
          <w:marRight w:val="0"/>
          <w:marTop w:val="0"/>
          <w:marBottom w:val="0"/>
          <w:divBdr>
            <w:top w:val="none" w:sz="0" w:space="0" w:color="auto"/>
            <w:left w:val="none" w:sz="0" w:space="0" w:color="auto"/>
            <w:bottom w:val="none" w:sz="0" w:space="0" w:color="auto"/>
            <w:right w:val="none" w:sz="0" w:space="0" w:color="auto"/>
          </w:divBdr>
        </w:div>
      </w:divsChild>
    </w:div>
    <w:div w:id="212573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TDoc_Template_RAN4%23114-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RBI5PAMIO524-1616901215-53334</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https://nokia.sharepoint.com/sites/gxp/_layouts/15/DocIdRedir.aspx?ID=RBI5PAMIO524-1616901215-53334</Url>
      <Description>RBI5PAMIO524-1616901215-53334</Description>
    </_dlc_DocIdUrl>
    <Comments xmlns="3f2ce089-3858-4176-9a21-a30f9204848e">OK</Comments>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E857201-6906-4F9B-82CA-0AF0C1A4AECC}">
  <ds:schemaRefs>
    <ds:schemaRef ds:uri="Microsoft.SharePoint.Taxonomy.ContentTypeSync"/>
  </ds:schemaRefs>
</ds:datastoreItem>
</file>

<file path=customXml/itemProps2.xml><?xml version="1.0" encoding="utf-8"?>
<ds:datastoreItem xmlns:ds="http://schemas.openxmlformats.org/officeDocument/2006/customXml" ds:itemID="{3A45AA37-B2E6-4C71-955D-3239DF9BABC7}">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EEAF60A7-6BC7-4FC1-8881-EA8C6DA258C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8623F9B6-A859-4987-8808-88D983F96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BDB77E7-D1F8-4103-9174-8B16954B36F7}">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TDoc_Template_RAN4#114-light.dotx</Template>
  <TotalTime>9</TotalTime>
  <Pages>1</Pages>
  <Words>2819</Words>
  <Characters>16070</Characters>
  <Application>Microsoft Office Word</Application>
  <DocSecurity>4</DocSecurity>
  <Lines>133</Lines>
  <Paragraphs>37</Paragraphs>
  <ScaleCrop>false</ScaleCrop>
  <Company/>
  <LinksUpToDate>false</LinksUpToDate>
  <CharactersWithSpaces>18852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Erika Almeida (Nokia)</dc:creator>
  <cp:keywords/>
  <dc:description/>
  <cp:lastModifiedBy>Erika Almeida (Nokia)</cp:lastModifiedBy>
  <cp:revision>34</cp:revision>
  <dcterms:created xsi:type="dcterms:W3CDTF">2025-08-15T15:04:00Z</dcterms:created>
  <dcterms:modified xsi:type="dcterms:W3CDTF">2025-08-15T11:48:00Z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2abb99cd-a8ec-4aa9-97eb-231165509457</vt:lpwstr>
  </property>
</Properties>
</file>